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15" w:rsidRPr="00AD2115" w:rsidRDefault="00AD2115" w:rsidP="00AD2115">
      <w:pPr>
        <w:jc w:val="center"/>
        <w:rPr>
          <w:b/>
          <w:sz w:val="28"/>
          <w:szCs w:val="28"/>
        </w:rPr>
      </w:pPr>
      <w:r w:rsidRPr="00AD2115">
        <w:rPr>
          <w:b/>
          <w:sz w:val="28"/>
          <w:szCs w:val="28"/>
        </w:rPr>
        <w:t>INCIDENCIA DE PUDRICIONES RADICALES EN GARBANZO (</w:t>
      </w:r>
      <w:r w:rsidRPr="00AD2115">
        <w:rPr>
          <w:b/>
          <w:i/>
          <w:sz w:val="28"/>
          <w:szCs w:val="28"/>
        </w:rPr>
        <w:t>CICER ARIETINUM</w:t>
      </w:r>
      <w:r w:rsidRPr="00AD2115">
        <w:rPr>
          <w:b/>
          <w:sz w:val="28"/>
          <w:szCs w:val="28"/>
        </w:rPr>
        <w:t>)</w:t>
      </w:r>
    </w:p>
    <w:p w:rsidR="006F2B40" w:rsidRPr="00F446E0" w:rsidRDefault="006F2B40" w:rsidP="006F2B40">
      <w:pPr>
        <w:jc w:val="center"/>
        <w:rPr>
          <w:b/>
          <w:lang w:val="en-US"/>
        </w:rPr>
      </w:pPr>
      <w:bookmarkStart w:id="0" w:name="_GoBack"/>
      <w:bookmarkEnd w:id="0"/>
      <w:r w:rsidRPr="00F446E0">
        <w:rPr>
          <w:b/>
          <w:lang w:val="en-US"/>
        </w:rPr>
        <w:t>INCIDENCE OF ROOT ROTS IN CHICKPEAS (</w:t>
      </w:r>
      <w:r w:rsidRPr="00F446E0">
        <w:rPr>
          <w:b/>
          <w:i/>
          <w:lang w:val="en-US"/>
        </w:rPr>
        <w:t>CICER ARIETINUM</w:t>
      </w:r>
      <w:r w:rsidRPr="00F446E0">
        <w:rPr>
          <w:b/>
          <w:lang w:val="en-US"/>
        </w:rPr>
        <w:t>)</w:t>
      </w:r>
    </w:p>
    <w:p w:rsidR="0066641A" w:rsidRPr="00AB4655" w:rsidRDefault="0066641A" w:rsidP="0066641A">
      <w:pPr>
        <w:pStyle w:val="Ttulo1"/>
        <w:numPr>
          <w:ilvl w:val="0"/>
          <w:numId w:val="0"/>
        </w:numPr>
        <w:spacing w:before="0" w:line="360" w:lineRule="auto"/>
        <w:ind w:left="432" w:hanging="432"/>
        <w:jc w:val="center"/>
        <w:rPr>
          <w:rFonts w:cs="Arial"/>
          <w:b w:val="0"/>
          <w:color w:val="0000FF"/>
          <w:szCs w:val="24"/>
          <w:u w:val="single"/>
        </w:rPr>
      </w:pPr>
      <w:r w:rsidRPr="00AB4655">
        <w:rPr>
          <w:rFonts w:cs="Arial"/>
          <w:b w:val="0"/>
          <w:caps w:val="0"/>
          <w:szCs w:val="24"/>
          <w:vertAlign w:val="superscript"/>
        </w:rPr>
        <w:t>1</w:t>
      </w:r>
      <w:r w:rsidRPr="00AB4655">
        <w:rPr>
          <w:rFonts w:cs="Arial"/>
          <w:b w:val="0"/>
          <w:caps w:val="0"/>
          <w:szCs w:val="24"/>
        </w:rPr>
        <w:t xml:space="preserve">Lidcay Herrera Isla </w:t>
      </w:r>
      <w:hyperlink r:id="rId8" w:history="1">
        <w:r w:rsidRPr="00AB4655">
          <w:rPr>
            <w:rStyle w:val="Hipervnculo"/>
            <w:rFonts w:cs="Arial"/>
            <w:b w:val="0"/>
            <w:caps w:val="0"/>
          </w:rPr>
          <w:t>https://orcid.org/0000-0002-2322-5136</w:t>
        </w:r>
      </w:hyperlink>
    </w:p>
    <w:p w:rsidR="0066641A" w:rsidRPr="00AB4655" w:rsidRDefault="0066641A" w:rsidP="0066641A">
      <w:pPr>
        <w:spacing w:after="0"/>
        <w:jc w:val="center"/>
        <w:rPr>
          <w:rFonts w:cs="Arial"/>
        </w:rPr>
      </w:pPr>
      <w:r w:rsidRPr="00AB4655">
        <w:rPr>
          <w:rFonts w:cs="Arial"/>
          <w:vertAlign w:val="superscript"/>
        </w:rPr>
        <w:t>1</w:t>
      </w:r>
      <w:r w:rsidRPr="00AB4655">
        <w:rPr>
          <w:rFonts w:cs="Arial"/>
        </w:rPr>
        <w:t xml:space="preserve">Manuel Díaz Castellanos </w:t>
      </w:r>
      <w:hyperlink r:id="rId9" w:tgtFrame="_blank" w:history="1">
        <w:r w:rsidRPr="00AB4655">
          <w:rPr>
            <w:rFonts w:cs="Arial"/>
            <w:color w:val="0000FF"/>
            <w:u w:val="single"/>
          </w:rPr>
          <w:t>https://orcid.org/0000-0001-8598-216X</w:t>
        </w:r>
      </w:hyperlink>
    </w:p>
    <w:p w:rsidR="006454E9" w:rsidRPr="00911645" w:rsidRDefault="006454E9" w:rsidP="006454E9">
      <w:pPr>
        <w:spacing w:after="0"/>
        <w:jc w:val="center"/>
        <w:rPr>
          <w:rFonts w:cs="Arial"/>
        </w:rPr>
      </w:pPr>
      <w:r w:rsidRPr="00911645">
        <w:rPr>
          <w:rFonts w:cs="Arial"/>
          <w:vertAlign w:val="superscript"/>
        </w:rPr>
        <w:t>2</w:t>
      </w:r>
      <w:r w:rsidRPr="00911645">
        <w:rPr>
          <w:rFonts w:cs="Arial"/>
        </w:rPr>
        <w:t xml:space="preserve">Victor Daniel Gil Díaz </w:t>
      </w:r>
      <w:hyperlink r:id="rId10" w:history="1">
        <w:r w:rsidRPr="00911645">
          <w:rPr>
            <w:rStyle w:val="Hipervnculo"/>
            <w:rFonts w:cs="Arial"/>
          </w:rPr>
          <w:t>https://orcid.org/0000-0003-2489-8719</w:t>
        </w:r>
      </w:hyperlink>
    </w:p>
    <w:p w:rsidR="0066641A" w:rsidRDefault="0066641A" w:rsidP="0066641A">
      <w:pPr>
        <w:spacing w:after="0"/>
        <w:jc w:val="center"/>
        <w:rPr>
          <w:rFonts w:cs="Arial"/>
          <w:sz w:val="22"/>
          <w:szCs w:val="22"/>
        </w:rPr>
      </w:pPr>
      <w:r w:rsidRPr="00AB4655">
        <w:rPr>
          <w:rFonts w:cs="Arial"/>
          <w:sz w:val="22"/>
          <w:szCs w:val="22"/>
          <w:vertAlign w:val="superscript"/>
        </w:rPr>
        <w:t>1</w:t>
      </w:r>
      <w:r w:rsidRPr="00AB4655">
        <w:rPr>
          <w:rFonts w:cs="Arial"/>
          <w:sz w:val="22"/>
          <w:szCs w:val="22"/>
        </w:rPr>
        <w:t>Departamento de Agronomía. Universidad Central “Marta Abreu” de Las Villas. Carretera a Camajuaní km. 5½, Santa Clara, Villa Clara, Cuba. CP 54830.</w:t>
      </w:r>
    </w:p>
    <w:p w:rsidR="006454E9" w:rsidRPr="006454E9" w:rsidRDefault="006454E9" w:rsidP="006454E9">
      <w:pPr>
        <w:spacing w:after="0"/>
        <w:jc w:val="center"/>
        <w:rPr>
          <w:rFonts w:cs="Arial"/>
          <w:sz w:val="22"/>
          <w:szCs w:val="22"/>
        </w:rPr>
      </w:pPr>
      <w:r w:rsidRPr="006454E9">
        <w:rPr>
          <w:rFonts w:cs="Arial"/>
          <w:sz w:val="22"/>
          <w:szCs w:val="22"/>
          <w:vertAlign w:val="superscript"/>
        </w:rPr>
        <w:t>2</w:t>
      </w:r>
      <w:r w:rsidRPr="006454E9">
        <w:rPr>
          <w:rFonts w:cs="Arial"/>
          <w:sz w:val="22"/>
          <w:szCs w:val="22"/>
        </w:rPr>
        <w:t>Centro de Investigaciones Ag</w:t>
      </w:r>
      <w:r>
        <w:rPr>
          <w:rFonts w:cs="Arial"/>
          <w:sz w:val="22"/>
          <w:szCs w:val="22"/>
        </w:rPr>
        <w:t>r</w:t>
      </w:r>
      <w:r w:rsidRPr="006454E9">
        <w:rPr>
          <w:rFonts w:cs="Arial"/>
          <w:sz w:val="22"/>
          <w:szCs w:val="22"/>
        </w:rPr>
        <w:t>opecua</w:t>
      </w:r>
      <w:r>
        <w:rPr>
          <w:rFonts w:cs="Arial"/>
          <w:sz w:val="22"/>
          <w:szCs w:val="22"/>
        </w:rPr>
        <w:t>r</w:t>
      </w:r>
      <w:r w:rsidRPr="006454E9">
        <w:rPr>
          <w:rFonts w:cs="Arial"/>
          <w:sz w:val="22"/>
          <w:szCs w:val="22"/>
        </w:rPr>
        <w:t>ias</w:t>
      </w:r>
      <w:r w:rsidRPr="006454E9">
        <w:rPr>
          <w:rFonts w:cs="Arial"/>
          <w:sz w:val="22"/>
          <w:szCs w:val="22"/>
          <w:vertAlign w:val="superscript"/>
        </w:rPr>
        <w:t xml:space="preserve">. </w:t>
      </w:r>
      <w:r w:rsidRPr="006454E9">
        <w:rPr>
          <w:rFonts w:cs="Arial"/>
          <w:sz w:val="22"/>
          <w:szCs w:val="22"/>
        </w:rPr>
        <w:t>Universidad Central “Marta Abreu” de Las Villas. Carretera a Camajuaní km. 5½, Santa Clara, Villa Clara, Cuba. CP 54830.</w:t>
      </w:r>
    </w:p>
    <w:p w:rsidR="0066641A" w:rsidRPr="00F34A7F" w:rsidRDefault="00DC3274" w:rsidP="0066641A">
      <w:pPr>
        <w:spacing w:before="0" w:after="0"/>
        <w:jc w:val="center"/>
        <w:rPr>
          <w:rFonts w:cs="Arial"/>
          <w:sz w:val="22"/>
          <w:szCs w:val="22"/>
        </w:rPr>
      </w:pPr>
      <w:hyperlink r:id="rId11" w:history="1">
        <w:r w:rsidR="00F34A7F" w:rsidRPr="002378A1">
          <w:rPr>
            <w:rStyle w:val="Hipervnculo"/>
            <w:rFonts w:cs="Arial"/>
            <w:sz w:val="22"/>
            <w:szCs w:val="22"/>
          </w:rPr>
          <w:t>lidcayhi@uclv.edu.cu</w:t>
        </w:r>
      </w:hyperlink>
      <w:r w:rsidR="00F34A7F">
        <w:rPr>
          <w:rFonts w:cs="Arial"/>
          <w:sz w:val="22"/>
          <w:szCs w:val="22"/>
        </w:rPr>
        <w:t xml:space="preserve">,  </w:t>
      </w:r>
      <w:hyperlink r:id="rId12" w:history="1">
        <w:r w:rsidR="00F34A7F" w:rsidRPr="002378A1">
          <w:rPr>
            <w:rStyle w:val="Hipervnculo"/>
            <w:rFonts w:cs="Arial"/>
            <w:sz w:val="22"/>
            <w:szCs w:val="22"/>
          </w:rPr>
          <w:t>yia@uclv.edu.cu</w:t>
        </w:r>
      </w:hyperlink>
      <w:r w:rsidR="00F34A7F">
        <w:rPr>
          <w:rFonts w:cs="Arial"/>
          <w:sz w:val="22"/>
          <w:szCs w:val="22"/>
        </w:rPr>
        <w:t xml:space="preserve">, </w:t>
      </w:r>
      <w:hyperlink r:id="rId13" w:history="1">
        <w:r w:rsidR="00F34A7F" w:rsidRPr="00F34A7F">
          <w:rPr>
            <w:rStyle w:val="Hipervnculo"/>
            <w:rFonts w:cs="Arial"/>
            <w:sz w:val="22"/>
            <w:szCs w:val="22"/>
          </w:rPr>
          <w:t>victorgil@uclv.edu.cu</w:t>
        </w:r>
      </w:hyperlink>
    </w:p>
    <w:p w:rsidR="00F34A7F" w:rsidRPr="00AB4655" w:rsidRDefault="00F34A7F" w:rsidP="0066641A">
      <w:pPr>
        <w:spacing w:before="0" w:after="0"/>
        <w:jc w:val="center"/>
        <w:rPr>
          <w:rFonts w:cs="Arial"/>
          <w:b/>
          <w:sz w:val="22"/>
          <w:szCs w:val="22"/>
        </w:rPr>
      </w:pPr>
    </w:p>
    <w:p w:rsidR="000263DF" w:rsidRPr="00AB4655" w:rsidRDefault="009A08B1" w:rsidP="00904364">
      <w:pPr>
        <w:spacing w:before="0" w:after="0"/>
        <w:jc w:val="center"/>
        <w:rPr>
          <w:rFonts w:cs="Arial"/>
          <w:b/>
        </w:rPr>
      </w:pPr>
      <w:r w:rsidRPr="00AB4655">
        <w:rPr>
          <w:rFonts w:cs="Arial"/>
          <w:b/>
        </w:rPr>
        <w:t>Resumen</w:t>
      </w:r>
    </w:p>
    <w:p w:rsidR="0066641A" w:rsidRPr="00AB4655" w:rsidRDefault="0066641A" w:rsidP="0066641A">
      <w:pPr>
        <w:spacing w:after="0"/>
        <w:rPr>
          <w:rFonts w:cs="Arial"/>
        </w:rPr>
      </w:pPr>
      <w:r w:rsidRPr="00AB4655">
        <w:rPr>
          <w:rFonts w:cs="Arial"/>
        </w:rPr>
        <w:t>La incidencia de pudriciones radicales fue evaluada en tres cultivares de garbanzo (</w:t>
      </w:r>
      <w:proofErr w:type="spellStart"/>
      <w:r w:rsidRPr="00AB4655">
        <w:rPr>
          <w:rFonts w:cs="Arial"/>
          <w:i/>
        </w:rPr>
        <w:t>Cicerarietinum</w:t>
      </w:r>
      <w:proofErr w:type="spellEnd"/>
      <w:r w:rsidRPr="00AB4655">
        <w:rPr>
          <w:rFonts w:cs="Arial"/>
        </w:rPr>
        <w:t xml:space="preserve"> L.) procedentes de la Colección de Germoplasma del Centro de Investigaciones Agropecuarias: Nacional 5AH, DI-22 y DI-117. Los resultados mostraron que la incidencia de la enfermedad osciló entre 33,1  y 41,63%, sin diferencias estadísticamente significativas entre los cultivares.  La etapa fenológica más susceptible fue el llenado de legumbres. </w:t>
      </w:r>
      <w:r w:rsidRPr="00AB4655">
        <w:rPr>
          <w:rFonts w:cs="Arial"/>
          <w:i/>
        </w:rPr>
        <w:t>Fusarium</w:t>
      </w:r>
      <w:r w:rsidRPr="00AB4655">
        <w:rPr>
          <w:rFonts w:cs="Arial"/>
        </w:rPr>
        <w:t xml:space="preserve">estuvo presente en el 100% de las plantas con síntomas de marchitez. </w:t>
      </w:r>
    </w:p>
    <w:p w:rsidR="0066641A" w:rsidRPr="00AB4655" w:rsidRDefault="0066641A" w:rsidP="0066641A">
      <w:pPr>
        <w:spacing w:after="0"/>
        <w:rPr>
          <w:rFonts w:cs="Arial"/>
        </w:rPr>
      </w:pPr>
      <w:r w:rsidRPr="00AB4655">
        <w:rPr>
          <w:rFonts w:cs="Arial"/>
          <w:b/>
        </w:rPr>
        <w:t>Palabras clave:</w:t>
      </w:r>
      <w:r w:rsidRPr="00AB4655">
        <w:rPr>
          <w:rFonts w:cs="Arial"/>
        </w:rPr>
        <w:t xml:space="preserve"> cultivares, fenología, hongos del suelo, incidencia</w:t>
      </w:r>
    </w:p>
    <w:p w:rsidR="000263DF" w:rsidRPr="00F446E0" w:rsidRDefault="009A08B1" w:rsidP="00904364">
      <w:pPr>
        <w:spacing w:before="0" w:after="0"/>
        <w:jc w:val="center"/>
        <w:outlineLvl w:val="1"/>
        <w:rPr>
          <w:rFonts w:cs="Arial"/>
          <w:b/>
          <w:bCs/>
          <w:lang w:val="en-US"/>
        </w:rPr>
      </w:pPr>
      <w:r w:rsidRPr="00F446E0">
        <w:rPr>
          <w:rFonts w:cs="Arial"/>
          <w:b/>
          <w:bCs/>
          <w:lang w:val="en-US"/>
        </w:rPr>
        <w:t>Abstract</w:t>
      </w:r>
    </w:p>
    <w:p w:rsidR="0066641A" w:rsidRPr="00AB4655" w:rsidRDefault="0066641A" w:rsidP="0066641A">
      <w:pPr>
        <w:spacing w:after="0"/>
        <w:rPr>
          <w:rFonts w:cs="Arial"/>
        </w:rPr>
      </w:pPr>
      <w:proofErr w:type="spellStart"/>
      <w:r w:rsidRPr="00F446E0">
        <w:rPr>
          <w:rFonts w:cs="Arial"/>
          <w:lang w:val="en-US"/>
        </w:rPr>
        <w:t>Theincidence</w:t>
      </w:r>
      <w:proofErr w:type="spellEnd"/>
      <w:r w:rsidRPr="00F446E0">
        <w:rPr>
          <w:rFonts w:cs="Arial"/>
          <w:lang w:val="en-US"/>
        </w:rPr>
        <w:t xml:space="preserve"> of </w:t>
      </w:r>
      <w:proofErr w:type="spellStart"/>
      <w:r w:rsidRPr="00F446E0">
        <w:rPr>
          <w:rFonts w:cs="Arial"/>
          <w:lang w:val="en-US"/>
        </w:rPr>
        <w:t>rootrotswasevaluated</w:t>
      </w:r>
      <w:proofErr w:type="spellEnd"/>
      <w:r w:rsidRPr="00F446E0">
        <w:rPr>
          <w:rFonts w:cs="Arial"/>
          <w:lang w:val="en-US"/>
        </w:rPr>
        <w:t xml:space="preserve"> in </w:t>
      </w:r>
      <w:proofErr w:type="spellStart"/>
      <w:r w:rsidRPr="00F446E0">
        <w:rPr>
          <w:rFonts w:cs="Arial"/>
          <w:lang w:val="en-US"/>
        </w:rPr>
        <w:t>threechickpeacultivars</w:t>
      </w:r>
      <w:proofErr w:type="spellEnd"/>
      <w:r w:rsidRPr="00F446E0">
        <w:rPr>
          <w:rFonts w:cs="Arial"/>
          <w:lang w:val="en-US"/>
        </w:rPr>
        <w:t xml:space="preserve"> (</w:t>
      </w:r>
      <w:proofErr w:type="spellStart"/>
      <w:r w:rsidRPr="00F446E0">
        <w:rPr>
          <w:rFonts w:cs="Arial"/>
          <w:i/>
          <w:iCs/>
          <w:lang w:val="en-US"/>
        </w:rPr>
        <w:t>Cicerarietinum</w:t>
      </w:r>
      <w:r w:rsidRPr="00F446E0">
        <w:rPr>
          <w:rFonts w:cs="Arial"/>
          <w:lang w:val="en-US"/>
        </w:rPr>
        <w:t>L</w:t>
      </w:r>
      <w:proofErr w:type="spellEnd"/>
      <w:r w:rsidRPr="00F446E0">
        <w:rPr>
          <w:rFonts w:cs="Arial"/>
          <w:lang w:val="en-US"/>
        </w:rPr>
        <w:t xml:space="preserve">.) </w:t>
      </w:r>
      <w:proofErr w:type="spellStart"/>
      <w:r w:rsidRPr="00F446E0">
        <w:rPr>
          <w:rFonts w:cs="Arial"/>
          <w:lang w:val="en-US"/>
        </w:rPr>
        <w:t>fromthe</w:t>
      </w:r>
      <w:proofErr w:type="spellEnd"/>
      <w:r w:rsidRPr="00F446E0">
        <w:rPr>
          <w:rFonts w:cs="Arial"/>
          <w:lang w:val="en-US"/>
        </w:rPr>
        <w:t xml:space="preserve"> CIAP </w:t>
      </w:r>
      <w:proofErr w:type="spellStart"/>
      <w:r w:rsidRPr="00F446E0">
        <w:rPr>
          <w:rFonts w:cs="Arial"/>
          <w:lang w:val="en-US"/>
        </w:rPr>
        <w:t>germplasmcollection</w:t>
      </w:r>
      <w:proofErr w:type="spellEnd"/>
      <w:r w:rsidRPr="00F446E0">
        <w:rPr>
          <w:rFonts w:cs="Arial"/>
          <w:lang w:val="en-US"/>
        </w:rPr>
        <w:t xml:space="preserve">: </w:t>
      </w:r>
      <w:proofErr w:type="spellStart"/>
      <w:r w:rsidRPr="00F446E0">
        <w:rPr>
          <w:rFonts w:cs="Arial"/>
          <w:lang w:val="en-US"/>
        </w:rPr>
        <w:t>Nacional</w:t>
      </w:r>
      <w:proofErr w:type="spellEnd"/>
      <w:r w:rsidRPr="00F446E0">
        <w:rPr>
          <w:rFonts w:cs="Arial"/>
          <w:lang w:val="en-US"/>
        </w:rPr>
        <w:t xml:space="preserve"> 5HA, DI-22 and DI-117. </w:t>
      </w:r>
      <w:proofErr w:type="spellStart"/>
      <w:r w:rsidRPr="00F446E0">
        <w:rPr>
          <w:rFonts w:cs="Arial"/>
          <w:lang w:val="en-US"/>
        </w:rPr>
        <w:t>Theresultsshowedthattheincidence</w:t>
      </w:r>
      <w:proofErr w:type="spellEnd"/>
      <w:r w:rsidRPr="00F446E0">
        <w:rPr>
          <w:rFonts w:cs="Arial"/>
          <w:lang w:val="en-US"/>
        </w:rPr>
        <w:t xml:space="preserve"> of </w:t>
      </w:r>
      <w:proofErr w:type="spellStart"/>
      <w:r w:rsidR="002F08B9" w:rsidRPr="00F446E0">
        <w:rPr>
          <w:rFonts w:cs="Arial"/>
          <w:lang w:val="en-US"/>
        </w:rPr>
        <w:t>thediseaserangedbetween</w:t>
      </w:r>
      <w:proofErr w:type="spellEnd"/>
      <w:r w:rsidR="002F08B9" w:rsidRPr="00F446E0">
        <w:rPr>
          <w:rFonts w:cs="Arial"/>
          <w:lang w:val="en-US"/>
        </w:rPr>
        <w:t xml:space="preserve"> 33</w:t>
      </w:r>
      <w:proofErr w:type="gramStart"/>
      <w:r w:rsidR="002F08B9" w:rsidRPr="00F446E0">
        <w:rPr>
          <w:rFonts w:cs="Arial"/>
          <w:lang w:val="en-US"/>
        </w:rPr>
        <w:t>,1</w:t>
      </w:r>
      <w:proofErr w:type="gramEnd"/>
      <w:r w:rsidRPr="00F446E0">
        <w:rPr>
          <w:rFonts w:cs="Arial"/>
          <w:lang w:val="en-US"/>
        </w:rPr>
        <w:t xml:space="preserve"> and 41,63%, </w:t>
      </w:r>
      <w:proofErr w:type="spellStart"/>
      <w:r w:rsidRPr="00F446E0">
        <w:rPr>
          <w:rFonts w:cs="Arial"/>
          <w:lang w:val="en-US"/>
        </w:rPr>
        <w:t>withoutstatisticaldifferencesamongthecultivars</w:t>
      </w:r>
      <w:proofErr w:type="spellEnd"/>
      <w:r w:rsidRPr="00F446E0">
        <w:rPr>
          <w:rFonts w:cs="Arial"/>
          <w:lang w:val="en-US"/>
        </w:rPr>
        <w:t xml:space="preserve">. </w:t>
      </w:r>
      <w:proofErr w:type="spellStart"/>
      <w:proofErr w:type="gramStart"/>
      <w:r w:rsidRPr="00F446E0">
        <w:rPr>
          <w:rFonts w:cs="Arial"/>
          <w:lang w:val="en-US"/>
        </w:rPr>
        <w:t>Themost</w:t>
      </w:r>
      <w:proofErr w:type="spellEnd"/>
      <w:r w:rsidRPr="00F446E0">
        <w:rPr>
          <w:rFonts w:cs="Arial"/>
          <w:lang w:val="en-US"/>
        </w:rPr>
        <w:t xml:space="preserve"> susceptible </w:t>
      </w:r>
      <w:proofErr w:type="spellStart"/>
      <w:r w:rsidRPr="00F446E0">
        <w:rPr>
          <w:rFonts w:cs="Arial"/>
          <w:lang w:val="en-US"/>
        </w:rPr>
        <w:t>phenologicalstagewasthefilling</w:t>
      </w:r>
      <w:proofErr w:type="spellEnd"/>
      <w:r w:rsidRPr="00F446E0">
        <w:rPr>
          <w:rFonts w:cs="Arial"/>
          <w:lang w:val="en-US"/>
        </w:rPr>
        <w:t xml:space="preserve"> of legumes.</w:t>
      </w:r>
      <w:proofErr w:type="gramEnd"/>
      <w:r w:rsidRPr="00F446E0">
        <w:rPr>
          <w:rFonts w:cs="Arial"/>
          <w:lang w:val="en-US"/>
        </w:rPr>
        <w:t xml:space="preserve"> </w:t>
      </w:r>
      <w:r w:rsidRPr="00AB4655">
        <w:rPr>
          <w:rFonts w:cs="Arial"/>
          <w:i/>
          <w:iCs/>
        </w:rPr>
        <w:t xml:space="preserve">Fusarium </w:t>
      </w:r>
      <w:proofErr w:type="spellStart"/>
      <w:r w:rsidRPr="00AB4655">
        <w:rPr>
          <w:rFonts w:cs="Arial"/>
          <w:iCs/>
        </w:rPr>
        <w:t>was</w:t>
      </w:r>
      <w:r w:rsidRPr="00AB4655">
        <w:rPr>
          <w:rFonts w:cs="Arial"/>
        </w:rPr>
        <w:t>present</w:t>
      </w:r>
      <w:proofErr w:type="spellEnd"/>
      <w:r w:rsidRPr="00AB4655">
        <w:rPr>
          <w:rFonts w:cs="Arial"/>
        </w:rPr>
        <w:t xml:space="preserve"> in 100% of </w:t>
      </w:r>
      <w:proofErr w:type="spellStart"/>
      <w:r w:rsidRPr="00AB4655">
        <w:rPr>
          <w:rFonts w:cs="Arial"/>
        </w:rPr>
        <w:t>theplantswithsymptoms</w:t>
      </w:r>
      <w:proofErr w:type="spellEnd"/>
      <w:r w:rsidRPr="00AB4655">
        <w:rPr>
          <w:rFonts w:cs="Arial"/>
        </w:rPr>
        <w:t>.</w:t>
      </w:r>
    </w:p>
    <w:p w:rsidR="0066641A" w:rsidRPr="00F446E0" w:rsidRDefault="0066641A" w:rsidP="0066641A">
      <w:pPr>
        <w:spacing w:after="0"/>
        <w:rPr>
          <w:rFonts w:cs="Arial"/>
          <w:lang w:val="en-US"/>
        </w:rPr>
      </w:pPr>
      <w:r w:rsidRPr="00F446E0">
        <w:rPr>
          <w:rFonts w:cs="Arial"/>
          <w:b/>
          <w:lang w:val="en-US"/>
        </w:rPr>
        <w:lastRenderedPageBreak/>
        <w:t xml:space="preserve">Key </w:t>
      </w:r>
      <w:proofErr w:type="spellStart"/>
      <w:r w:rsidRPr="00F446E0">
        <w:rPr>
          <w:rFonts w:cs="Arial"/>
          <w:b/>
          <w:lang w:val="en-US"/>
        </w:rPr>
        <w:t>words</w:t>
      </w:r>
      <w:proofErr w:type="gramStart"/>
      <w:r w:rsidRPr="00F446E0">
        <w:rPr>
          <w:rFonts w:cs="Arial"/>
          <w:b/>
          <w:lang w:val="en-US"/>
        </w:rPr>
        <w:t>:</w:t>
      </w:r>
      <w:r w:rsidRPr="00F446E0">
        <w:rPr>
          <w:rFonts w:cs="Arial"/>
          <w:lang w:val="en-US"/>
        </w:rPr>
        <w:t>cultivars</w:t>
      </w:r>
      <w:proofErr w:type="spellEnd"/>
      <w:proofErr w:type="gramEnd"/>
      <w:r w:rsidRPr="00F446E0">
        <w:rPr>
          <w:rFonts w:cs="Arial"/>
          <w:lang w:val="en-US"/>
        </w:rPr>
        <w:t xml:space="preserve">, </w:t>
      </w:r>
      <w:proofErr w:type="spellStart"/>
      <w:r w:rsidRPr="00F446E0">
        <w:rPr>
          <w:rFonts w:cs="Arial"/>
          <w:lang w:val="en-US"/>
        </w:rPr>
        <w:t>phenology</w:t>
      </w:r>
      <w:proofErr w:type="spellEnd"/>
      <w:r w:rsidRPr="00F446E0">
        <w:rPr>
          <w:rFonts w:cs="Arial"/>
          <w:lang w:val="en-US"/>
        </w:rPr>
        <w:t xml:space="preserve">, </w:t>
      </w:r>
      <w:proofErr w:type="spellStart"/>
      <w:r w:rsidRPr="00F446E0">
        <w:rPr>
          <w:rFonts w:cs="Arial"/>
          <w:lang w:val="en-US"/>
        </w:rPr>
        <w:t>soilfungi</w:t>
      </w:r>
      <w:proofErr w:type="spellEnd"/>
      <w:r w:rsidRPr="00F446E0">
        <w:rPr>
          <w:rFonts w:cs="Arial"/>
          <w:lang w:val="en-US"/>
        </w:rPr>
        <w:t>, incidence</w:t>
      </w:r>
    </w:p>
    <w:p w:rsidR="0066641A" w:rsidRPr="00F446E0" w:rsidRDefault="0066641A" w:rsidP="00904364">
      <w:pPr>
        <w:spacing w:before="0" w:after="0"/>
        <w:jc w:val="center"/>
        <w:outlineLvl w:val="1"/>
        <w:rPr>
          <w:rFonts w:cs="Arial"/>
          <w:b/>
          <w:bCs/>
          <w:lang w:val="en-US"/>
        </w:rPr>
      </w:pPr>
    </w:p>
    <w:p w:rsidR="0066641A" w:rsidRPr="00F446E0" w:rsidRDefault="0066641A" w:rsidP="00904364">
      <w:pPr>
        <w:pStyle w:val="Ttulo1"/>
        <w:numPr>
          <w:ilvl w:val="0"/>
          <w:numId w:val="0"/>
        </w:numPr>
        <w:spacing w:before="0" w:after="0" w:line="360" w:lineRule="auto"/>
        <w:ind w:left="432" w:hanging="432"/>
        <w:rPr>
          <w:rFonts w:cs="Arial"/>
          <w:caps w:val="0"/>
          <w:lang w:val="en-US"/>
        </w:rPr>
      </w:pPr>
    </w:p>
    <w:p w:rsidR="008E0084" w:rsidRPr="00AB4655" w:rsidRDefault="00904364" w:rsidP="00904364">
      <w:pPr>
        <w:pStyle w:val="Ttulo1"/>
        <w:numPr>
          <w:ilvl w:val="0"/>
          <w:numId w:val="0"/>
        </w:numPr>
        <w:spacing w:before="0" w:after="0" w:line="360" w:lineRule="auto"/>
        <w:ind w:left="432" w:hanging="432"/>
        <w:rPr>
          <w:rFonts w:cs="Arial"/>
          <w:caps w:val="0"/>
          <w:szCs w:val="24"/>
        </w:rPr>
      </w:pPr>
      <w:r w:rsidRPr="00AB4655">
        <w:rPr>
          <w:rFonts w:cs="Arial"/>
          <w:caps w:val="0"/>
          <w:szCs w:val="24"/>
        </w:rPr>
        <w:t xml:space="preserve">1 </w:t>
      </w:r>
      <w:r w:rsidR="00F446E0">
        <w:rPr>
          <w:rFonts w:cs="Arial"/>
          <w:caps w:val="0"/>
          <w:szCs w:val="24"/>
        </w:rPr>
        <w:t>I</w:t>
      </w:r>
      <w:r w:rsidR="00F446E0" w:rsidRPr="00AB4655">
        <w:rPr>
          <w:rFonts w:cs="Arial"/>
          <w:caps w:val="0"/>
          <w:szCs w:val="24"/>
        </w:rPr>
        <w:t>ntroducción</w:t>
      </w:r>
    </w:p>
    <w:p w:rsidR="00BA4806" w:rsidRPr="00AB4655" w:rsidRDefault="00BA4806" w:rsidP="00BF4E45">
      <w:pPr>
        <w:spacing w:before="0" w:after="0"/>
        <w:rPr>
          <w:rFonts w:cs="Arial"/>
        </w:rPr>
      </w:pPr>
      <w:r w:rsidRPr="00AB4655">
        <w:rPr>
          <w:rFonts w:cs="Arial"/>
        </w:rPr>
        <w:t>En Cuba, las pudriciones radicales causadas por un complejo de hongos del suelo:</w:t>
      </w:r>
      <w:r w:rsidRPr="00AB4655">
        <w:rPr>
          <w:rFonts w:cs="Arial"/>
          <w:i/>
        </w:rPr>
        <w:t xml:space="preserve"> Fusarium </w:t>
      </w:r>
      <w:proofErr w:type="spellStart"/>
      <w:r w:rsidRPr="00AB4655">
        <w:rPr>
          <w:rFonts w:cs="Arial"/>
          <w:i/>
        </w:rPr>
        <w:t>oxysporum</w:t>
      </w:r>
      <w:r w:rsidRPr="00AB4655">
        <w:rPr>
          <w:rFonts w:cs="Arial"/>
        </w:rPr>
        <w:t>Schlecht</w:t>
      </w:r>
      <w:proofErr w:type="spellEnd"/>
      <w:r w:rsidRPr="00AB4655">
        <w:rPr>
          <w:rFonts w:cs="Arial"/>
        </w:rPr>
        <w:t xml:space="preserve">, </w:t>
      </w:r>
      <w:proofErr w:type="spellStart"/>
      <w:r w:rsidRPr="00AB4655">
        <w:rPr>
          <w:rFonts w:cs="Arial"/>
          <w:i/>
        </w:rPr>
        <w:t>Rhizoctoniasolani</w:t>
      </w:r>
      <w:r w:rsidRPr="00AB4655">
        <w:rPr>
          <w:rFonts w:cs="Arial"/>
        </w:rPr>
        <w:t>Kühn</w:t>
      </w:r>
      <w:proofErr w:type="spellEnd"/>
      <w:r w:rsidRPr="00AB4655">
        <w:rPr>
          <w:rFonts w:cs="Arial"/>
        </w:rPr>
        <w:t xml:space="preserve"> y </w:t>
      </w:r>
      <w:proofErr w:type="spellStart"/>
      <w:r w:rsidRPr="00AB4655">
        <w:rPr>
          <w:rFonts w:cs="Arial"/>
          <w:i/>
        </w:rPr>
        <w:t>Sclerotiumrolfsii</w:t>
      </w:r>
      <w:proofErr w:type="spellEnd"/>
      <w:r w:rsidRPr="00AB4655">
        <w:rPr>
          <w:rFonts w:cs="Arial"/>
        </w:rPr>
        <w:t xml:space="preserve"> Sacc. </w:t>
      </w:r>
      <w:proofErr w:type="gramStart"/>
      <w:r w:rsidRPr="00AB4655">
        <w:rPr>
          <w:rFonts w:cs="Arial"/>
        </w:rPr>
        <w:t>constituyen</w:t>
      </w:r>
      <w:proofErr w:type="gramEnd"/>
      <w:r w:rsidRPr="00AB4655">
        <w:rPr>
          <w:rFonts w:cs="Arial"/>
        </w:rPr>
        <w:t xml:space="preserve"> una causa importante de los bajos rendimientos del garbanzo (García </w:t>
      </w:r>
      <w:r w:rsidRPr="00AB4655">
        <w:rPr>
          <w:rFonts w:cs="Arial"/>
          <w:i/>
        </w:rPr>
        <w:t>et al</w:t>
      </w:r>
      <w:r w:rsidRPr="00AB4655">
        <w:rPr>
          <w:rFonts w:cs="Arial"/>
        </w:rPr>
        <w:t>., 2008, Duarte-</w:t>
      </w:r>
      <w:proofErr w:type="spellStart"/>
      <w:r w:rsidRPr="00AB4655">
        <w:rPr>
          <w:rFonts w:cs="Arial"/>
        </w:rPr>
        <w:t>Leall</w:t>
      </w:r>
      <w:r w:rsidRPr="00AB4655">
        <w:rPr>
          <w:rFonts w:cs="Arial"/>
          <w:i/>
        </w:rPr>
        <w:t>et</w:t>
      </w:r>
      <w:proofErr w:type="spellEnd"/>
      <w:r w:rsidRPr="00AB4655">
        <w:rPr>
          <w:rFonts w:cs="Arial"/>
          <w:i/>
        </w:rPr>
        <w:t xml:space="preserve"> al</w:t>
      </w:r>
      <w:r w:rsidRPr="00AB4655">
        <w:rPr>
          <w:rFonts w:cs="Arial"/>
        </w:rPr>
        <w:t xml:space="preserve">., 2016). Algunas de las estrategias implementadas para su </w:t>
      </w:r>
      <w:r w:rsidR="00BF4E45" w:rsidRPr="00AB4655">
        <w:rPr>
          <w:rFonts w:cs="Arial"/>
        </w:rPr>
        <w:t>c</w:t>
      </w:r>
      <w:r w:rsidRPr="00AB4655">
        <w:rPr>
          <w:rFonts w:cs="Arial"/>
        </w:rPr>
        <w:t xml:space="preserve">ontrol, como la rotación de cultivos y el uso de semilla libre de organismos patógenos </w:t>
      </w:r>
    </w:p>
    <w:p w:rsidR="00BA4806" w:rsidRPr="00AB4655" w:rsidRDefault="00BA4806" w:rsidP="00BF4E45">
      <w:pPr>
        <w:spacing w:before="0" w:after="0"/>
        <w:rPr>
          <w:rFonts w:cs="Arial"/>
        </w:rPr>
      </w:pPr>
      <w:r w:rsidRPr="00AB4655">
        <w:rPr>
          <w:rFonts w:cs="Arial"/>
        </w:rPr>
        <w:t xml:space="preserve">y/o tratadas con fungicidas; han sido poco satisfactorias. Se han obtenido resultados satisfactorios con el uso de microorganismos antagonistas como </w:t>
      </w:r>
      <w:proofErr w:type="spellStart"/>
      <w:r w:rsidRPr="00AB4655">
        <w:rPr>
          <w:rFonts w:cs="Arial"/>
          <w:i/>
        </w:rPr>
        <w:t>Trichoderma</w:t>
      </w:r>
      <w:r w:rsidRPr="00AB4655">
        <w:rPr>
          <w:rFonts w:cs="Arial"/>
        </w:rPr>
        <w:t>spp</w:t>
      </w:r>
      <w:proofErr w:type="spellEnd"/>
      <w:r w:rsidRPr="00AB4655">
        <w:rPr>
          <w:rFonts w:cs="Arial"/>
        </w:rPr>
        <w:t xml:space="preserve">. (Oliva-Ortiz </w:t>
      </w:r>
      <w:r w:rsidRPr="00AB4655">
        <w:rPr>
          <w:rFonts w:cs="Arial"/>
          <w:i/>
        </w:rPr>
        <w:t>etal</w:t>
      </w:r>
      <w:r w:rsidRPr="00AB4655">
        <w:rPr>
          <w:rFonts w:cs="Arial"/>
        </w:rPr>
        <w:t xml:space="preserve">., 2017; Martínez-Coca </w:t>
      </w:r>
      <w:r w:rsidRPr="00AB4655">
        <w:rPr>
          <w:rFonts w:cs="Arial"/>
          <w:i/>
        </w:rPr>
        <w:t>et al</w:t>
      </w:r>
      <w:r w:rsidRPr="00AB4655">
        <w:rPr>
          <w:rFonts w:cs="Arial"/>
        </w:rPr>
        <w:t>., 2018). El desarrollo de cultivares con resistencia genética ofrece la mejor estrategia pr</w:t>
      </w:r>
      <w:r w:rsidR="0018353C">
        <w:rPr>
          <w:rFonts w:cs="Arial"/>
        </w:rPr>
        <w:t>á</w:t>
      </w:r>
      <w:r w:rsidRPr="00AB4655">
        <w:rPr>
          <w:rFonts w:cs="Arial"/>
        </w:rPr>
        <w:t xml:space="preserve">ctica y económica para el manejo de la enfermedad; sin embargo, esta se ve limitada por la presencia de nuevas razas del organismo patógeno (Jiménez-Díaz </w:t>
      </w:r>
      <w:r w:rsidRPr="00AB4655">
        <w:rPr>
          <w:rFonts w:cs="Arial"/>
          <w:i/>
        </w:rPr>
        <w:t>et al</w:t>
      </w:r>
      <w:r w:rsidRPr="00AB4655">
        <w:rPr>
          <w:rFonts w:cs="Arial"/>
        </w:rPr>
        <w:t>.</w:t>
      </w:r>
      <w:r w:rsidR="0008370C" w:rsidRPr="00AB4655">
        <w:rPr>
          <w:rFonts w:cs="Arial"/>
        </w:rPr>
        <w:t>, 1993</w:t>
      </w:r>
      <w:r w:rsidRPr="00AB4655">
        <w:rPr>
          <w:rFonts w:cs="Arial"/>
        </w:rPr>
        <w:t>).</w:t>
      </w:r>
    </w:p>
    <w:p w:rsidR="00BA4806" w:rsidRPr="00AB4655" w:rsidRDefault="00BA4806" w:rsidP="0018353C">
      <w:pPr>
        <w:spacing w:before="0" w:after="0"/>
      </w:pPr>
      <w:r w:rsidRPr="00AB4655">
        <w:rPr>
          <w:rFonts w:cs="Arial"/>
        </w:rPr>
        <w:t>La investigación tuvo como objetivo evaluar la incidencia de pudriciones radicales en cultivares de garbanzo</w:t>
      </w:r>
      <w:r w:rsidR="0008370C" w:rsidRPr="00AB4655">
        <w:rPr>
          <w:rFonts w:cs="Arial"/>
        </w:rPr>
        <w:t>.</w:t>
      </w:r>
    </w:p>
    <w:p w:rsidR="008E0084" w:rsidRPr="00AB4655" w:rsidRDefault="00904364" w:rsidP="0018353C">
      <w:pPr>
        <w:pStyle w:val="Ttulo1"/>
        <w:numPr>
          <w:ilvl w:val="0"/>
          <w:numId w:val="0"/>
        </w:numPr>
        <w:spacing w:before="0" w:after="0" w:line="360" w:lineRule="auto"/>
        <w:ind w:hanging="432"/>
        <w:rPr>
          <w:rFonts w:cs="Arial"/>
          <w:caps w:val="0"/>
          <w:szCs w:val="24"/>
        </w:rPr>
      </w:pPr>
      <w:r w:rsidRPr="00AB4655">
        <w:rPr>
          <w:rFonts w:cs="Arial"/>
          <w:caps w:val="0"/>
          <w:szCs w:val="24"/>
        </w:rPr>
        <w:t xml:space="preserve">2 </w:t>
      </w:r>
      <w:r w:rsidR="0019535D" w:rsidRPr="00AB4655">
        <w:rPr>
          <w:rFonts w:cs="Arial"/>
          <w:caps w:val="0"/>
          <w:szCs w:val="24"/>
        </w:rPr>
        <w:t>MATERIALES Y MÉTODOS</w:t>
      </w:r>
    </w:p>
    <w:p w:rsidR="00C37B08" w:rsidRPr="00AB4655" w:rsidRDefault="0008370C" w:rsidP="0016413E">
      <w:pPr>
        <w:spacing w:before="0" w:after="0"/>
        <w:rPr>
          <w:rFonts w:cs="Arial"/>
        </w:rPr>
      </w:pPr>
      <w:r w:rsidRPr="00AB4655">
        <w:t xml:space="preserve">Los experimentos de campo se desarrollaron en </w:t>
      </w:r>
      <w:r w:rsidRPr="00AB4655">
        <w:rPr>
          <w:rFonts w:cs="Arial"/>
        </w:rPr>
        <w:t xml:space="preserve">áreas de la parcela experimental </w:t>
      </w:r>
      <w:r w:rsidRPr="00AB4655">
        <w:br/>
      </w:r>
      <w:r w:rsidRPr="00AB4655">
        <w:rPr>
          <w:rFonts w:cs="Arial"/>
        </w:rPr>
        <w:t xml:space="preserve">de la Facultad de Ciencias Agropecuarias de la Universidad Central “Marta Abreu” de Las Villas (UCLV), de diciembre de 2019 a abril de 2020, sobre suelo Pardo Mullido carbonatado (Hernández </w:t>
      </w:r>
      <w:r w:rsidRPr="00AB4655">
        <w:rPr>
          <w:rFonts w:cs="Arial"/>
          <w:i/>
        </w:rPr>
        <w:t>et al</w:t>
      </w:r>
      <w:r w:rsidRPr="00AB4655">
        <w:rPr>
          <w:rFonts w:cs="Arial"/>
        </w:rPr>
        <w:t>., 2019). Se utilizaron t</w:t>
      </w:r>
      <w:r w:rsidR="00C37B08" w:rsidRPr="00AB4655">
        <w:rPr>
          <w:rFonts w:cs="Arial"/>
        </w:rPr>
        <w:t xml:space="preserve">res </w:t>
      </w:r>
      <w:r w:rsidRPr="00AB4655">
        <w:rPr>
          <w:rFonts w:cs="Arial"/>
        </w:rPr>
        <w:t>cultivares de garbanzo, uno comercial (Nacional 5HA) (MINAG, 2019) y dos promisorios (DI-22 y DI-117) (López, 2016). Cada cultivar ocupó un área de 35 m</w:t>
      </w:r>
      <w:r w:rsidRPr="00AB4655">
        <w:rPr>
          <w:rFonts w:cs="Arial"/>
          <w:vertAlign w:val="superscript"/>
        </w:rPr>
        <w:t>2</w:t>
      </w:r>
      <w:r w:rsidRPr="00AB4655">
        <w:rPr>
          <w:rFonts w:cs="Arial"/>
        </w:rPr>
        <w:t>, con un marco de siembra de 0,70 m x 0,20 m. Se utilizaron semillas de categoría “Original”, sin tratamientos fitosanitarios, procedentes de Centro de Investigaciones Agropecuarias</w:t>
      </w:r>
      <w:r w:rsidR="00C313A0" w:rsidRPr="00AB4655">
        <w:rPr>
          <w:rFonts w:cs="Arial"/>
        </w:rPr>
        <w:t>(</w:t>
      </w:r>
      <w:r w:rsidR="00C37B08" w:rsidRPr="00AB4655">
        <w:rPr>
          <w:rFonts w:cs="Arial"/>
        </w:rPr>
        <w:t xml:space="preserve">CIAP) de la UCLV. </w:t>
      </w:r>
    </w:p>
    <w:p w:rsidR="00C37B08" w:rsidRPr="00AB4655" w:rsidRDefault="0008370C" w:rsidP="0018353C">
      <w:pPr>
        <w:spacing w:before="0" w:after="0"/>
        <w:rPr>
          <w:rFonts w:cs="Arial"/>
        </w:rPr>
      </w:pPr>
      <w:r w:rsidRPr="00AB4655">
        <w:rPr>
          <w:rFonts w:cs="Arial"/>
        </w:rPr>
        <w:t xml:space="preserve">Los muestreos se realizaron semanalmente. Las plantas con síntomas de pudriciones </w:t>
      </w:r>
      <w:r w:rsidR="008040F6" w:rsidRPr="00AB4655">
        <w:rPr>
          <w:rFonts w:cs="Arial"/>
        </w:rPr>
        <w:t>radicales se tras</w:t>
      </w:r>
      <w:r w:rsidR="0018353C">
        <w:rPr>
          <w:rFonts w:cs="Arial"/>
        </w:rPr>
        <w:t>l</w:t>
      </w:r>
      <w:r w:rsidR="008040F6" w:rsidRPr="00AB4655">
        <w:rPr>
          <w:rFonts w:cs="Arial"/>
        </w:rPr>
        <w:t xml:space="preserve">adaron al laboratorio de Microbiología </w:t>
      </w:r>
      <w:r w:rsidRPr="00AB4655">
        <w:rPr>
          <w:rFonts w:cs="Arial"/>
        </w:rPr>
        <w:t xml:space="preserve">Aplicada del Instituto de Biotecnología de las Plantas (IBP) para la identificación de los hongos asociados. Para la evaluación del progreso de las pudriciones radicales se tuvieron en cuenta las etapas </w:t>
      </w:r>
      <w:r w:rsidRPr="00AB4655">
        <w:rPr>
          <w:rFonts w:cs="Arial"/>
        </w:rPr>
        <w:lastRenderedPageBreak/>
        <w:t xml:space="preserve">generales de desarrollo fenológico del cultivo conformadas por López (2016) a partir de las etapas específicas señaladas por </w:t>
      </w:r>
      <w:proofErr w:type="spellStart"/>
      <w:r w:rsidRPr="00AB4655">
        <w:rPr>
          <w:rFonts w:cs="Arial"/>
        </w:rPr>
        <w:t>Muehlbauer</w:t>
      </w:r>
      <w:r w:rsidRPr="00AB4655">
        <w:rPr>
          <w:rFonts w:cs="Arial"/>
          <w:i/>
        </w:rPr>
        <w:t>et</w:t>
      </w:r>
      <w:proofErr w:type="spellEnd"/>
      <w:r w:rsidRPr="00AB4655">
        <w:rPr>
          <w:rFonts w:cs="Arial"/>
          <w:i/>
        </w:rPr>
        <w:t xml:space="preserve"> al.</w:t>
      </w:r>
      <w:r w:rsidRPr="00AB4655">
        <w:rPr>
          <w:rFonts w:cs="Arial"/>
        </w:rPr>
        <w:t xml:space="preserve"> (1982). </w:t>
      </w:r>
    </w:p>
    <w:p w:rsidR="00C37B08" w:rsidRPr="00AB4655" w:rsidRDefault="00C37B08" w:rsidP="00C37B08">
      <w:pPr>
        <w:spacing w:before="0" w:after="0"/>
        <w:rPr>
          <w:rFonts w:cs="Arial"/>
          <w:color w:val="000000"/>
        </w:rPr>
      </w:pPr>
      <w:r w:rsidRPr="00AB4655">
        <w:rPr>
          <w:rFonts w:cs="Arial"/>
          <w:color w:val="000000"/>
        </w:rPr>
        <w:t>La incidencia de las pudriciones radicales se determinó según  la fórmula:</w:t>
      </w:r>
    </w:p>
    <w:p w:rsidR="00C37B08" w:rsidRPr="00AB4655" w:rsidRDefault="00C37B08" w:rsidP="00C37B08">
      <w:pPr>
        <w:spacing w:before="0" w:after="0"/>
        <w:rPr>
          <w:rFonts w:cs="Arial"/>
          <w:color w:val="000000"/>
        </w:rPr>
      </w:pPr>
      <w:r w:rsidRPr="00AB4655">
        <w:rPr>
          <w:rFonts w:cs="Arial"/>
          <w:color w:val="000000"/>
        </w:rPr>
        <w:t>D = Pa/Pm * 100     donde: Pa= plantas afectadas   Pm= plantas muestreadas</w:t>
      </w:r>
    </w:p>
    <w:p w:rsidR="00C37B08" w:rsidRPr="00AB4655" w:rsidRDefault="00C37B08" w:rsidP="0016413E">
      <w:pPr>
        <w:spacing w:before="0" w:after="0"/>
        <w:rPr>
          <w:rFonts w:cs="Arial"/>
          <w:color w:val="000000"/>
        </w:rPr>
      </w:pPr>
      <w:r w:rsidRPr="00AB4655">
        <w:rPr>
          <w:rFonts w:cs="Arial"/>
          <w:color w:val="000000"/>
        </w:rPr>
        <w:t xml:space="preserve">La respuesta de los cultivares al ataque de </w:t>
      </w:r>
      <w:proofErr w:type="spellStart"/>
      <w:r w:rsidRPr="00AB4655">
        <w:rPr>
          <w:rFonts w:cs="Arial"/>
          <w:i/>
          <w:color w:val="000000"/>
        </w:rPr>
        <w:t>Fusarium</w:t>
      </w:r>
      <w:r w:rsidRPr="00AB4655">
        <w:rPr>
          <w:rFonts w:cs="Arial"/>
          <w:color w:val="000000"/>
        </w:rPr>
        <w:t>spp</w:t>
      </w:r>
      <w:proofErr w:type="spellEnd"/>
      <w:r w:rsidRPr="00AB4655">
        <w:rPr>
          <w:rFonts w:cs="Arial"/>
          <w:color w:val="000000"/>
        </w:rPr>
        <w:t xml:space="preserve">. </w:t>
      </w:r>
      <w:proofErr w:type="gramStart"/>
      <w:r w:rsidRPr="00AB4655">
        <w:rPr>
          <w:rFonts w:cs="Arial"/>
          <w:color w:val="000000"/>
        </w:rPr>
        <w:t>se</w:t>
      </w:r>
      <w:proofErr w:type="gramEnd"/>
      <w:r w:rsidRPr="00AB4655">
        <w:rPr>
          <w:rFonts w:cs="Arial"/>
          <w:color w:val="000000"/>
        </w:rPr>
        <w:t xml:space="preserve"> evaluó según la escala de severidad de </w:t>
      </w:r>
      <w:proofErr w:type="spellStart"/>
      <w:r w:rsidRPr="00AB4655">
        <w:rPr>
          <w:rFonts w:cs="Arial"/>
          <w:color w:val="000000"/>
        </w:rPr>
        <w:t>Neupane</w:t>
      </w:r>
      <w:r w:rsidRPr="00AB4655">
        <w:rPr>
          <w:rFonts w:cs="Arial"/>
          <w:i/>
          <w:color w:val="000000"/>
        </w:rPr>
        <w:t>et</w:t>
      </w:r>
      <w:proofErr w:type="spellEnd"/>
      <w:r w:rsidRPr="00AB4655">
        <w:rPr>
          <w:rFonts w:cs="Arial"/>
          <w:i/>
          <w:color w:val="000000"/>
        </w:rPr>
        <w:t xml:space="preserve"> al</w:t>
      </w:r>
      <w:r w:rsidRPr="00AB4655">
        <w:rPr>
          <w:rFonts w:cs="Arial"/>
          <w:color w:val="000000"/>
        </w:rPr>
        <w:t>. (2007) (Tabla 1).</w:t>
      </w:r>
    </w:p>
    <w:p w:rsidR="00C37B08" w:rsidRPr="00AB4655" w:rsidRDefault="00C37B08" w:rsidP="0016413E">
      <w:pPr>
        <w:spacing w:before="0" w:after="0"/>
        <w:rPr>
          <w:rFonts w:cs="Arial"/>
          <w:color w:val="000000"/>
        </w:rPr>
      </w:pPr>
      <w:r w:rsidRPr="00AB4655">
        <w:rPr>
          <w:rFonts w:cs="Arial"/>
          <w:color w:val="000000"/>
        </w:rPr>
        <w:t xml:space="preserve">Tabla 1. Escala de severidad de las pudriciones radicales por </w:t>
      </w:r>
      <w:r w:rsidRPr="00AB4655">
        <w:rPr>
          <w:rFonts w:cs="Arial"/>
          <w:i/>
          <w:color w:val="000000"/>
        </w:rPr>
        <w:t>Fusarium</w:t>
      </w:r>
      <w:r w:rsidRPr="00AB4655">
        <w:rPr>
          <w:rFonts w:cs="Arial"/>
          <w:color w:val="000000"/>
        </w:rPr>
        <w:t xml:space="preserve"> en garbanzo</w:t>
      </w:r>
    </w:p>
    <w:tbl>
      <w:tblPr>
        <w:tblStyle w:val="Tablanormal21"/>
        <w:tblW w:w="0" w:type="auto"/>
        <w:jc w:val="center"/>
        <w:tblLook w:val="04A0"/>
      </w:tblPr>
      <w:tblGrid>
        <w:gridCol w:w="2175"/>
        <w:gridCol w:w="3169"/>
      </w:tblGrid>
      <w:tr w:rsidR="00C37B08" w:rsidRPr="00AB4655" w:rsidTr="00C37B08">
        <w:trPr>
          <w:cnfStyle w:val="100000000000"/>
          <w:jc w:val="center"/>
        </w:trPr>
        <w:tc>
          <w:tcPr>
            <w:cnfStyle w:val="001000000000"/>
            <w:tcW w:w="2175" w:type="dxa"/>
          </w:tcPr>
          <w:p w:rsidR="00C37B08" w:rsidRPr="00AB4655" w:rsidRDefault="00C37B08" w:rsidP="006F38F0">
            <w:pPr>
              <w:spacing w:after="0" w:line="240" w:lineRule="auto"/>
              <w:rPr>
                <w:rFonts w:cs="Arial"/>
                <w:bCs w:val="0"/>
                <w:color w:val="000000"/>
              </w:rPr>
            </w:pPr>
            <w:r w:rsidRPr="00AB4655">
              <w:rPr>
                <w:rFonts w:cs="Arial"/>
                <w:color w:val="000000"/>
              </w:rPr>
              <w:t>Incidencia  (%)</w:t>
            </w:r>
          </w:p>
        </w:tc>
        <w:tc>
          <w:tcPr>
            <w:tcW w:w="3169" w:type="dxa"/>
          </w:tcPr>
          <w:p w:rsidR="00C37B08" w:rsidRPr="00AB4655" w:rsidRDefault="00C37B08" w:rsidP="006F38F0">
            <w:pPr>
              <w:spacing w:after="0" w:line="240" w:lineRule="auto"/>
              <w:cnfStyle w:val="100000000000"/>
              <w:rPr>
                <w:rFonts w:cs="Arial"/>
                <w:bCs w:val="0"/>
                <w:color w:val="000000"/>
              </w:rPr>
            </w:pPr>
            <w:r w:rsidRPr="00AB4655">
              <w:rPr>
                <w:rFonts w:cs="Arial"/>
                <w:color w:val="000000"/>
              </w:rPr>
              <w:t>Respuesta</w:t>
            </w:r>
          </w:p>
        </w:tc>
      </w:tr>
      <w:tr w:rsidR="00C37B08" w:rsidRPr="00AB4655" w:rsidTr="00C37B08">
        <w:trPr>
          <w:cnfStyle w:val="000000100000"/>
          <w:jc w:val="center"/>
        </w:trPr>
        <w:tc>
          <w:tcPr>
            <w:cnfStyle w:val="001000000000"/>
            <w:tcW w:w="2175" w:type="dxa"/>
          </w:tcPr>
          <w:p w:rsidR="00C37B08" w:rsidRPr="00AB4655" w:rsidRDefault="00C37B08" w:rsidP="006F38F0">
            <w:pPr>
              <w:spacing w:after="0" w:line="240" w:lineRule="auto"/>
              <w:jc w:val="center"/>
              <w:rPr>
                <w:rFonts w:cs="Arial"/>
                <w:b w:val="0"/>
                <w:bCs w:val="0"/>
                <w:color w:val="000000"/>
              </w:rPr>
            </w:pPr>
            <w:r w:rsidRPr="00AB4655">
              <w:rPr>
                <w:rFonts w:cs="Arial"/>
                <w:b w:val="0"/>
                <w:color w:val="000000"/>
              </w:rPr>
              <w:t>≤ 10</w:t>
            </w:r>
          </w:p>
        </w:tc>
        <w:tc>
          <w:tcPr>
            <w:tcW w:w="3169" w:type="dxa"/>
          </w:tcPr>
          <w:p w:rsidR="00C37B08" w:rsidRPr="00AB4655" w:rsidRDefault="00C37B08" w:rsidP="006F38F0">
            <w:pPr>
              <w:spacing w:after="0" w:line="240" w:lineRule="auto"/>
              <w:cnfStyle w:val="000000100000"/>
              <w:rPr>
                <w:rFonts w:cs="Arial"/>
                <w:color w:val="000000"/>
              </w:rPr>
            </w:pPr>
            <w:r w:rsidRPr="00AB4655">
              <w:rPr>
                <w:rFonts w:cs="Arial"/>
                <w:color w:val="000000"/>
              </w:rPr>
              <w:t>Resistente</w:t>
            </w:r>
          </w:p>
        </w:tc>
      </w:tr>
      <w:tr w:rsidR="00C37B08" w:rsidRPr="00AB4655" w:rsidTr="00C37B08">
        <w:trPr>
          <w:jc w:val="center"/>
        </w:trPr>
        <w:tc>
          <w:tcPr>
            <w:cnfStyle w:val="001000000000"/>
            <w:tcW w:w="2175" w:type="dxa"/>
          </w:tcPr>
          <w:p w:rsidR="00C37B08" w:rsidRPr="00AB4655" w:rsidRDefault="00C37B08" w:rsidP="006F38F0">
            <w:pPr>
              <w:spacing w:after="0" w:line="240" w:lineRule="auto"/>
              <w:jc w:val="center"/>
              <w:rPr>
                <w:rFonts w:cs="Arial"/>
                <w:b w:val="0"/>
                <w:bCs w:val="0"/>
                <w:color w:val="000000"/>
              </w:rPr>
            </w:pPr>
            <w:r w:rsidRPr="00AB4655">
              <w:rPr>
                <w:rFonts w:cs="Arial"/>
                <w:b w:val="0"/>
                <w:color w:val="000000"/>
              </w:rPr>
              <w:t>10,1 - 20</w:t>
            </w:r>
          </w:p>
        </w:tc>
        <w:tc>
          <w:tcPr>
            <w:tcW w:w="3169" w:type="dxa"/>
          </w:tcPr>
          <w:p w:rsidR="00C37B08" w:rsidRPr="00AB4655" w:rsidRDefault="00C37B08" w:rsidP="006F38F0">
            <w:pPr>
              <w:spacing w:after="0" w:line="240" w:lineRule="auto"/>
              <w:cnfStyle w:val="000000000000"/>
              <w:rPr>
                <w:rFonts w:cs="Arial"/>
                <w:color w:val="000000"/>
              </w:rPr>
            </w:pPr>
            <w:r w:rsidRPr="00AB4655">
              <w:rPr>
                <w:rFonts w:cs="Arial"/>
                <w:color w:val="000000"/>
              </w:rPr>
              <w:t>Moderadamente resistente</w:t>
            </w:r>
          </w:p>
        </w:tc>
      </w:tr>
      <w:tr w:rsidR="00C37B08" w:rsidRPr="00AB4655" w:rsidTr="00C37B08">
        <w:trPr>
          <w:cnfStyle w:val="000000100000"/>
          <w:jc w:val="center"/>
        </w:trPr>
        <w:tc>
          <w:tcPr>
            <w:cnfStyle w:val="001000000000"/>
            <w:tcW w:w="2175" w:type="dxa"/>
          </w:tcPr>
          <w:p w:rsidR="00C37B08" w:rsidRPr="00AB4655" w:rsidRDefault="00C37B08" w:rsidP="006F38F0">
            <w:pPr>
              <w:spacing w:after="0" w:line="240" w:lineRule="auto"/>
              <w:jc w:val="center"/>
              <w:rPr>
                <w:rFonts w:cs="Arial"/>
                <w:b w:val="0"/>
                <w:bCs w:val="0"/>
                <w:color w:val="000000"/>
              </w:rPr>
            </w:pPr>
            <w:r w:rsidRPr="00AB4655">
              <w:rPr>
                <w:rFonts w:cs="Arial"/>
                <w:b w:val="0"/>
                <w:color w:val="000000"/>
              </w:rPr>
              <w:t>20,1 - 50</w:t>
            </w:r>
          </w:p>
        </w:tc>
        <w:tc>
          <w:tcPr>
            <w:tcW w:w="3169" w:type="dxa"/>
          </w:tcPr>
          <w:p w:rsidR="00C37B08" w:rsidRPr="00AB4655" w:rsidRDefault="00C37B08" w:rsidP="006F38F0">
            <w:pPr>
              <w:spacing w:after="0" w:line="240" w:lineRule="auto"/>
              <w:cnfStyle w:val="000000100000"/>
              <w:rPr>
                <w:rFonts w:cs="Arial"/>
                <w:color w:val="000000"/>
              </w:rPr>
            </w:pPr>
            <w:r w:rsidRPr="00AB4655">
              <w:rPr>
                <w:rFonts w:cs="Arial"/>
                <w:color w:val="000000"/>
              </w:rPr>
              <w:t>Susceptible</w:t>
            </w:r>
          </w:p>
        </w:tc>
      </w:tr>
      <w:tr w:rsidR="00C37B08" w:rsidRPr="00AB4655" w:rsidTr="00C37B08">
        <w:trPr>
          <w:jc w:val="center"/>
        </w:trPr>
        <w:tc>
          <w:tcPr>
            <w:cnfStyle w:val="001000000000"/>
            <w:tcW w:w="2175" w:type="dxa"/>
          </w:tcPr>
          <w:p w:rsidR="00C37B08" w:rsidRPr="00AB4655" w:rsidRDefault="00C37B08" w:rsidP="006F38F0">
            <w:pPr>
              <w:spacing w:after="0" w:line="240" w:lineRule="auto"/>
              <w:jc w:val="center"/>
              <w:rPr>
                <w:rFonts w:cs="Arial"/>
                <w:b w:val="0"/>
                <w:bCs w:val="0"/>
                <w:color w:val="000000"/>
              </w:rPr>
            </w:pPr>
            <w:r w:rsidRPr="00AB4655">
              <w:rPr>
                <w:rFonts w:cs="Arial"/>
                <w:b w:val="0"/>
                <w:color w:val="000000"/>
              </w:rPr>
              <w:t>&gt; 50</w:t>
            </w:r>
          </w:p>
        </w:tc>
        <w:tc>
          <w:tcPr>
            <w:tcW w:w="3169" w:type="dxa"/>
          </w:tcPr>
          <w:p w:rsidR="00C37B08" w:rsidRPr="00AB4655" w:rsidRDefault="00C37B08" w:rsidP="006F38F0">
            <w:pPr>
              <w:spacing w:after="0" w:line="240" w:lineRule="auto"/>
              <w:cnfStyle w:val="000000000000"/>
              <w:rPr>
                <w:rFonts w:cs="Arial"/>
                <w:color w:val="000000"/>
              </w:rPr>
            </w:pPr>
            <w:r w:rsidRPr="00AB4655">
              <w:rPr>
                <w:rFonts w:cs="Arial"/>
                <w:color w:val="000000"/>
              </w:rPr>
              <w:t>Altamente susceptible</w:t>
            </w:r>
          </w:p>
        </w:tc>
      </w:tr>
    </w:tbl>
    <w:p w:rsidR="00C37B08" w:rsidRPr="00AB4655" w:rsidRDefault="00C37B08" w:rsidP="00C37B08">
      <w:pPr>
        <w:spacing w:before="0" w:after="0"/>
        <w:rPr>
          <w:rFonts w:cs="Arial"/>
        </w:rPr>
      </w:pPr>
    </w:p>
    <w:p w:rsidR="0008370C" w:rsidRPr="00AB4655" w:rsidRDefault="0008370C" w:rsidP="0016413E">
      <w:pPr>
        <w:spacing w:before="0" w:after="0"/>
        <w:rPr>
          <w:rFonts w:cs="Arial"/>
        </w:rPr>
      </w:pPr>
      <w:r w:rsidRPr="00AB4655">
        <w:rPr>
          <w:rFonts w:cs="Arial"/>
        </w:rPr>
        <w:t>El procesamiento de los datos se realizó mediante el paquete estadístico STATGRAPHICS Centurión XV ver. 15.2.14 Edición Multilingüe del 2006. Se aplicaron pruebas de comparación de proporciones para las comparaciones de las medias en los análisis de incidencia de la enfermedad</w:t>
      </w:r>
    </w:p>
    <w:p w:rsidR="008E0084" w:rsidRPr="00AB4655" w:rsidRDefault="00904364" w:rsidP="0016413E">
      <w:pPr>
        <w:pStyle w:val="Ttulo1"/>
        <w:numPr>
          <w:ilvl w:val="0"/>
          <w:numId w:val="0"/>
        </w:numPr>
        <w:spacing w:before="0" w:after="0" w:line="360" w:lineRule="auto"/>
        <w:ind w:hanging="432"/>
        <w:rPr>
          <w:rFonts w:cs="Arial"/>
        </w:rPr>
      </w:pPr>
      <w:r w:rsidRPr="00AB4655">
        <w:rPr>
          <w:rFonts w:cs="Arial"/>
          <w:caps w:val="0"/>
        </w:rPr>
        <w:t xml:space="preserve">      3 </w:t>
      </w:r>
      <w:r w:rsidR="0019535D" w:rsidRPr="00AB4655">
        <w:rPr>
          <w:rFonts w:cs="Arial"/>
          <w:caps w:val="0"/>
        </w:rPr>
        <w:t>RESULTADOS Y DISCUSIÓN</w:t>
      </w:r>
    </w:p>
    <w:p w:rsidR="008040F6" w:rsidRPr="00AB4655" w:rsidRDefault="008040F6" w:rsidP="0016413E">
      <w:pPr>
        <w:spacing w:before="0" w:after="0"/>
        <w:rPr>
          <w:rFonts w:cs="Arial"/>
        </w:rPr>
      </w:pPr>
      <w:r w:rsidRPr="00AB4655">
        <w:rPr>
          <w:rFonts w:cs="Arial"/>
        </w:rPr>
        <w:t xml:space="preserve">El análisis de las muestras de plantas enfermas arrojó la presencia  </w:t>
      </w:r>
      <w:proofErr w:type="spellStart"/>
      <w:r w:rsidRPr="00AB4655">
        <w:rPr>
          <w:rFonts w:cs="Arial"/>
          <w:i/>
        </w:rPr>
        <w:t>Fusarium</w:t>
      </w:r>
      <w:r w:rsidRPr="00AB4655">
        <w:rPr>
          <w:rFonts w:cs="Arial"/>
        </w:rPr>
        <w:t>sp</w:t>
      </w:r>
      <w:proofErr w:type="spellEnd"/>
      <w:r w:rsidRPr="00AB4655">
        <w:rPr>
          <w:rFonts w:cs="Arial"/>
        </w:rPr>
        <w:t xml:space="preserve">. </w:t>
      </w:r>
      <w:proofErr w:type="gramStart"/>
      <w:r w:rsidRPr="00AB4655">
        <w:rPr>
          <w:rFonts w:cs="Arial"/>
        </w:rPr>
        <w:t>y</w:t>
      </w:r>
      <w:r w:rsidRPr="00AB4655">
        <w:rPr>
          <w:rFonts w:cs="Arial"/>
          <w:i/>
        </w:rPr>
        <w:t>Macrophomina</w:t>
      </w:r>
      <w:proofErr w:type="gramEnd"/>
      <w:r w:rsidRPr="00AB4655">
        <w:rPr>
          <w:rFonts w:cs="Arial"/>
          <w:i/>
        </w:rPr>
        <w:t xml:space="preserve"> phaseolina</w:t>
      </w:r>
      <w:r w:rsidRPr="00AB4655">
        <w:rPr>
          <w:rFonts w:cs="Arial"/>
        </w:rPr>
        <w:t xml:space="preserve"> afectando los cultivares evaluados.  </w:t>
      </w:r>
      <w:r w:rsidRPr="00AB4655">
        <w:rPr>
          <w:rFonts w:cs="Arial"/>
          <w:i/>
        </w:rPr>
        <w:t>Fusarium</w:t>
      </w:r>
      <w:r w:rsidRPr="00AB4655">
        <w:rPr>
          <w:rFonts w:cs="Arial"/>
        </w:rPr>
        <w:t xml:space="preserve">  se encontró en el 100% de las muestras analizadas (Tabla 2). Se detectaron además, los géneros </w:t>
      </w:r>
      <w:proofErr w:type="spellStart"/>
      <w:r w:rsidRPr="00AB4655">
        <w:rPr>
          <w:rFonts w:cs="Arial"/>
          <w:i/>
        </w:rPr>
        <w:t>Aspergillus</w:t>
      </w:r>
      <w:proofErr w:type="spellEnd"/>
      <w:r w:rsidRPr="00AB4655">
        <w:rPr>
          <w:rFonts w:cs="Arial"/>
        </w:rPr>
        <w:t xml:space="preserve">, </w:t>
      </w:r>
      <w:proofErr w:type="spellStart"/>
      <w:r w:rsidRPr="00AB4655">
        <w:rPr>
          <w:rFonts w:cs="Arial"/>
          <w:i/>
        </w:rPr>
        <w:t>Penicillium</w:t>
      </w:r>
      <w:proofErr w:type="spellEnd"/>
      <w:r w:rsidRPr="00AB4655">
        <w:rPr>
          <w:rFonts w:cs="Arial"/>
        </w:rPr>
        <w:t xml:space="preserve"> y </w:t>
      </w:r>
      <w:proofErr w:type="spellStart"/>
      <w:r w:rsidRPr="00AB4655">
        <w:rPr>
          <w:rFonts w:cs="Arial"/>
          <w:i/>
        </w:rPr>
        <w:t>Trichoderma</w:t>
      </w:r>
      <w:proofErr w:type="spellEnd"/>
      <w:r w:rsidRPr="00AB4655">
        <w:rPr>
          <w:rFonts w:cs="Arial"/>
          <w:i/>
        </w:rPr>
        <w:t>.</w:t>
      </w:r>
    </w:p>
    <w:p w:rsidR="008040F6" w:rsidRPr="00AB4655" w:rsidRDefault="008040F6" w:rsidP="0016413E">
      <w:pPr>
        <w:spacing w:before="0" w:after="0"/>
        <w:rPr>
          <w:rFonts w:cs="Arial"/>
        </w:rPr>
      </w:pPr>
      <w:r w:rsidRPr="00AB4655">
        <w:rPr>
          <w:rFonts w:cs="Arial"/>
        </w:rPr>
        <w:t>Tabla 2. Hongos fitopatógenos asociados a las pudriciones radicales en garbanzo (porcentaje del total de plantas con síntomas)</w:t>
      </w:r>
      <w:r w:rsidR="00540606" w:rsidRPr="00AB4655">
        <w:rPr>
          <w:rFonts w:cs="Arial"/>
        </w:rPr>
        <w:t>.</w:t>
      </w:r>
    </w:p>
    <w:tbl>
      <w:tblPr>
        <w:tblStyle w:val="Tablanormal21"/>
        <w:tblW w:w="0" w:type="auto"/>
        <w:jc w:val="center"/>
        <w:tblLook w:val="04A0"/>
      </w:tblPr>
      <w:tblGrid>
        <w:gridCol w:w="1575"/>
        <w:gridCol w:w="1880"/>
        <w:gridCol w:w="1632"/>
        <w:gridCol w:w="2023"/>
      </w:tblGrid>
      <w:tr w:rsidR="008040F6" w:rsidRPr="00AB4655" w:rsidTr="00540606">
        <w:trPr>
          <w:cnfStyle w:val="100000000000"/>
          <w:trHeight w:val="252"/>
          <w:jc w:val="center"/>
        </w:trPr>
        <w:tc>
          <w:tcPr>
            <w:cnfStyle w:val="001000000000"/>
            <w:tcW w:w="1575" w:type="dxa"/>
            <w:vMerge w:val="restart"/>
          </w:tcPr>
          <w:p w:rsidR="008040F6" w:rsidRPr="00AB4655" w:rsidRDefault="008040F6" w:rsidP="006F38F0">
            <w:pPr>
              <w:spacing w:after="0" w:line="240" w:lineRule="auto"/>
              <w:rPr>
                <w:rFonts w:cs="Arial"/>
                <w:color w:val="000000"/>
              </w:rPr>
            </w:pPr>
          </w:p>
          <w:p w:rsidR="008040F6" w:rsidRPr="00AB4655" w:rsidRDefault="008040F6" w:rsidP="006F38F0">
            <w:pPr>
              <w:spacing w:after="0" w:line="240" w:lineRule="auto"/>
              <w:rPr>
                <w:rFonts w:cs="Arial"/>
                <w:color w:val="000000"/>
              </w:rPr>
            </w:pPr>
            <w:r w:rsidRPr="00AB4655">
              <w:rPr>
                <w:rFonts w:cs="Arial"/>
                <w:color w:val="000000"/>
              </w:rPr>
              <w:t>Cultivar</w:t>
            </w:r>
          </w:p>
        </w:tc>
        <w:tc>
          <w:tcPr>
            <w:tcW w:w="1880" w:type="dxa"/>
            <w:vMerge w:val="restart"/>
          </w:tcPr>
          <w:p w:rsidR="008040F6" w:rsidRPr="00AB4655" w:rsidRDefault="008040F6" w:rsidP="006F38F0">
            <w:pPr>
              <w:spacing w:after="0" w:line="240" w:lineRule="auto"/>
              <w:jc w:val="center"/>
              <w:cnfStyle w:val="100000000000"/>
              <w:rPr>
                <w:rFonts w:cs="Arial"/>
                <w:color w:val="000000"/>
              </w:rPr>
            </w:pPr>
          </w:p>
          <w:p w:rsidR="008040F6" w:rsidRPr="00AB4655" w:rsidRDefault="008040F6" w:rsidP="006F38F0">
            <w:pPr>
              <w:spacing w:after="0" w:line="240" w:lineRule="auto"/>
              <w:jc w:val="center"/>
              <w:cnfStyle w:val="100000000000"/>
              <w:rPr>
                <w:rFonts w:cs="Arial"/>
                <w:color w:val="000000"/>
              </w:rPr>
            </w:pPr>
            <w:r w:rsidRPr="00AB4655">
              <w:rPr>
                <w:rFonts w:cs="Arial"/>
                <w:color w:val="000000"/>
              </w:rPr>
              <w:t>Plantas con síntomas</w:t>
            </w:r>
          </w:p>
        </w:tc>
        <w:tc>
          <w:tcPr>
            <w:tcW w:w="3655" w:type="dxa"/>
            <w:gridSpan w:val="2"/>
            <w:tcBorders>
              <w:bottom w:val="single" w:sz="4" w:space="0" w:color="auto"/>
            </w:tcBorders>
          </w:tcPr>
          <w:p w:rsidR="008040F6" w:rsidRPr="00AB4655" w:rsidRDefault="008040F6" w:rsidP="006F38F0">
            <w:pPr>
              <w:spacing w:after="0" w:line="240" w:lineRule="auto"/>
              <w:jc w:val="center"/>
              <w:cnfStyle w:val="100000000000"/>
              <w:rPr>
                <w:rFonts w:cs="Arial"/>
                <w:i/>
                <w:color w:val="000000"/>
              </w:rPr>
            </w:pPr>
            <w:r w:rsidRPr="00AB4655">
              <w:rPr>
                <w:rFonts w:cs="Arial"/>
                <w:i/>
                <w:color w:val="000000"/>
              </w:rPr>
              <w:t>%</w:t>
            </w:r>
          </w:p>
        </w:tc>
      </w:tr>
      <w:tr w:rsidR="008040F6" w:rsidRPr="00AB4655" w:rsidTr="00540606">
        <w:trPr>
          <w:cnfStyle w:val="000000100000"/>
          <w:trHeight w:val="290"/>
          <w:jc w:val="center"/>
        </w:trPr>
        <w:tc>
          <w:tcPr>
            <w:cnfStyle w:val="001000000000"/>
            <w:tcW w:w="1575" w:type="dxa"/>
            <w:vMerge/>
          </w:tcPr>
          <w:p w:rsidR="008040F6" w:rsidRPr="00AB4655" w:rsidRDefault="008040F6" w:rsidP="006F38F0">
            <w:pPr>
              <w:spacing w:after="0" w:line="240" w:lineRule="auto"/>
              <w:rPr>
                <w:rFonts w:cs="Arial"/>
                <w:color w:val="000000"/>
              </w:rPr>
            </w:pPr>
          </w:p>
        </w:tc>
        <w:tc>
          <w:tcPr>
            <w:tcW w:w="1880" w:type="dxa"/>
            <w:vMerge/>
          </w:tcPr>
          <w:p w:rsidR="008040F6" w:rsidRPr="00AB4655" w:rsidRDefault="008040F6" w:rsidP="006F38F0">
            <w:pPr>
              <w:spacing w:after="0" w:line="240" w:lineRule="auto"/>
              <w:jc w:val="center"/>
              <w:cnfStyle w:val="000000100000"/>
              <w:rPr>
                <w:rFonts w:cs="Arial"/>
                <w:b/>
                <w:color w:val="000000"/>
              </w:rPr>
            </w:pPr>
          </w:p>
        </w:tc>
        <w:tc>
          <w:tcPr>
            <w:tcW w:w="1632" w:type="dxa"/>
            <w:tcBorders>
              <w:top w:val="single" w:sz="4" w:space="0" w:color="auto"/>
            </w:tcBorders>
          </w:tcPr>
          <w:p w:rsidR="008040F6" w:rsidRPr="00AB4655" w:rsidRDefault="008040F6" w:rsidP="006F38F0">
            <w:pPr>
              <w:spacing w:after="0" w:line="240" w:lineRule="auto"/>
              <w:jc w:val="center"/>
              <w:cnfStyle w:val="000000100000"/>
              <w:rPr>
                <w:rFonts w:cs="Arial"/>
                <w:b/>
                <w:i/>
                <w:color w:val="000000"/>
              </w:rPr>
            </w:pPr>
            <w:r w:rsidRPr="00AB4655">
              <w:rPr>
                <w:rFonts w:cs="Arial"/>
                <w:b/>
                <w:i/>
                <w:color w:val="000000"/>
              </w:rPr>
              <w:t xml:space="preserve">Fusarium </w:t>
            </w:r>
            <w:proofErr w:type="spellStart"/>
            <w:r w:rsidRPr="00AB4655">
              <w:rPr>
                <w:rFonts w:cs="Arial"/>
                <w:b/>
                <w:color w:val="000000"/>
              </w:rPr>
              <w:t>sp</w:t>
            </w:r>
            <w:r w:rsidRPr="00AB4655">
              <w:rPr>
                <w:rFonts w:cs="Arial"/>
                <w:b/>
                <w:i/>
                <w:color w:val="000000"/>
              </w:rPr>
              <w:t>.</w:t>
            </w:r>
            <w:proofErr w:type="spellEnd"/>
          </w:p>
        </w:tc>
        <w:tc>
          <w:tcPr>
            <w:tcW w:w="2023" w:type="dxa"/>
            <w:tcBorders>
              <w:top w:val="single" w:sz="4" w:space="0" w:color="auto"/>
            </w:tcBorders>
          </w:tcPr>
          <w:p w:rsidR="008040F6" w:rsidRPr="00AB4655" w:rsidRDefault="008040F6" w:rsidP="006F38F0">
            <w:pPr>
              <w:spacing w:after="0" w:line="240" w:lineRule="auto"/>
              <w:jc w:val="center"/>
              <w:cnfStyle w:val="000000100000"/>
              <w:rPr>
                <w:rFonts w:cs="Arial"/>
                <w:b/>
                <w:i/>
                <w:color w:val="000000"/>
              </w:rPr>
            </w:pPr>
            <w:r w:rsidRPr="00AB4655">
              <w:rPr>
                <w:rFonts w:cs="Arial"/>
                <w:b/>
                <w:i/>
                <w:color w:val="000000"/>
              </w:rPr>
              <w:t>Macrophomina phaseolina</w:t>
            </w:r>
          </w:p>
        </w:tc>
      </w:tr>
      <w:tr w:rsidR="008040F6" w:rsidRPr="00AB4655" w:rsidTr="00540606">
        <w:trPr>
          <w:trHeight w:val="306"/>
          <w:jc w:val="center"/>
        </w:trPr>
        <w:tc>
          <w:tcPr>
            <w:cnfStyle w:val="001000000000"/>
            <w:tcW w:w="1575" w:type="dxa"/>
          </w:tcPr>
          <w:p w:rsidR="008040F6" w:rsidRPr="00AB4655" w:rsidRDefault="008040F6" w:rsidP="006F38F0">
            <w:pPr>
              <w:spacing w:after="0" w:line="240" w:lineRule="auto"/>
              <w:rPr>
                <w:rFonts w:cs="Arial"/>
                <w:b w:val="0"/>
                <w:color w:val="000000"/>
              </w:rPr>
            </w:pPr>
            <w:r w:rsidRPr="00AB4655">
              <w:rPr>
                <w:rFonts w:cs="Arial"/>
                <w:b w:val="0"/>
                <w:color w:val="000000"/>
              </w:rPr>
              <w:t>Nacional 5HA</w:t>
            </w:r>
          </w:p>
        </w:tc>
        <w:tc>
          <w:tcPr>
            <w:tcW w:w="1880"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112</w:t>
            </w:r>
          </w:p>
        </w:tc>
        <w:tc>
          <w:tcPr>
            <w:tcW w:w="1632"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100</w:t>
            </w:r>
          </w:p>
        </w:tc>
        <w:tc>
          <w:tcPr>
            <w:tcW w:w="2023"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1,87</w:t>
            </w:r>
          </w:p>
        </w:tc>
      </w:tr>
      <w:tr w:rsidR="008040F6" w:rsidRPr="00AB4655" w:rsidTr="00540606">
        <w:trPr>
          <w:cnfStyle w:val="000000100000"/>
          <w:trHeight w:val="351"/>
          <w:jc w:val="center"/>
        </w:trPr>
        <w:tc>
          <w:tcPr>
            <w:cnfStyle w:val="001000000000"/>
            <w:tcW w:w="1575" w:type="dxa"/>
          </w:tcPr>
          <w:p w:rsidR="008040F6" w:rsidRPr="00AB4655" w:rsidRDefault="008040F6" w:rsidP="006F38F0">
            <w:pPr>
              <w:spacing w:after="0" w:line="240" w:lineRule="auto"/>
              <w:rPr>
                <w:rFonts w:cs="Arial"/>
                <w:b w:val="0"/>
                <w:color w:val="000000"/>
              </w:rPr>
            </w:pPr>
            <w:r w:rsidRPr="00AB4655">
              <w:rPr>
                <w:rFonts w:cs="Arial"/>
                <w:b w:val="0"/>
                <w:color w:val="000000"/>
              </w:rPr>
              <w:t>DI-22</w:t>
            </w:r>
          </w:p>
        </w:tc>
        <w:tc>
          <w:tcPr>
            <w:tcW w:w="1880" w:type="dxa"/>
          </w:tcPr>
          <w:p w:rsidR="008040F6" w:rsidRPr="00AB4655" w:rsidRDefault="008040F6" w:rsidP="006F38F0">
            <w:pPr>
              <w:spacing w:after="0" w:line="240" w:lineRule="auto"/>
              <w:jc w:val="center"/>
              <w:cnfStyle w:val="000000100000"/>
              <w:rPr>
                <w:rFonts w:cs="Arial"/>
                <w:color w:val="000000"/>
              </w:rPr>
            </w:pPr>
            <w:r w:rsidRPr="00AB4655">
              <w:rPr>
                <w:rFonts w:cs="Arial"/>
                <w:color w:val="000000"/>
              </w:rPr>
              <w:t>104</w:t>
            </w:r>
          </w:p>
        </w:tc>
        <w:tc>
          <w:tcPr>
            <w:tcW w:w="1632" w:type="dxa"/>
          </w:tcPr>
          <w:p w:rsidR="008040F6" w:rsidRPr="00AB4655" w:rsidRDefault="008040F6" w:rsidP="006F38F0">
            <w:pPr>
              <w:spacing w:after="0" w:line="240" w:lineRule="auto"/>
              <w:jc w:val="center"/>
              <w:cnfStyle w:val="000000100000"/>
              <w:rPr>
                <w:rFonts w:cs="Arial"/>
                <w:color w:val="000000"/>
              </w:rPr>
            </w:pPr>
            <w:r w:rsidRPr="00AB4655">
              <w:rPr>
                <w:rFonts w:cs="Arial"/>
                <w:color w:val="000000"/>
              </w:rPr>
              <w:t>100</w:t>
            </w:r>
          </w:p>
        </w:tc>
        <w:tc>
          <w:tcPr>
            <w:tcW w:w="2023" w:type="dxa"/>
          </w:tcPr>
          <w:p w:rsidR="008040F6" w:rsidRPr="00AB4655" w:rsidRDefault="008040F6" w:rsidP="006F38F0">
            <w:pPr>
              <w:spacing w:after="0" w:line="240" w:lineRule="auto"/>
              <w:jc w:val="center"/>
              <w:cnfStyle w:val="000000100000"/>
              <w:rPr>
                <w:rFonts w:cs="Arial"/>
                <w:color w:val="000000"/>
              </w:rPr>
            </w:pPr>
            <w:r w:rsidRPr="00AB4655">
              <w:rPr>
                <w:rFonts w:cs="Arial"/>
                <w:color w:val="000000"/>
              </w:rPr>
              <w:t>4,80</w:t>
            </w:r>
          </w:p>
        </w:tc>
      </w:tr>
      <w:tr w:rsidR="008040F6" w:rsidRPr="00AB4655" w:rsidTr="00540606">
        <w:trPr>
          <w:trHeight w:val="274"/>
          <w:jc w:val="center"/>
        </w:trPr>
        <w:tc>
          <w:tcPr>
            <w:cnfStyle w:val="001000000000"/>
            <w:tcW w:w="1575" w:type="dxa"/>
          </w:tcPr>
          <w:p w:rsidR="008040F6" w:rsidRPr="00AB4655" w:rsidRDefault="008040F6" w:rsidP="006F38F0">
            <w:pPr>
              <w:spacing w:after="0" w:line="240" w:lineRule="auto"/>
              <w:rPr>
                <w:rFonts w:cs="Arial"/>
                <w:b w:val="0"/>
                <w:color w:val="000000"/>
              </w:rPr>
            </w:pPr>
            <w:r w:rsidRPr="00AB4655">
              <w:rPr>
                <w:rFonts w:cs="Arial"/>
                <w:b w:val="0"/>
                <w:color w:val="000000"/>
              </w:rPr>
              <w:t>DI-117</w:t>
            </w:r>
          </w:p>
        </w:tc>
        <w:tc>
          <w:tcPr>
            <w:tcW w:w="1880"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 xml:space="preserve">  49</w:t>
            </w:r>
          </w:p>
        </w:tc>
        <w:tc>
          <w:tcPr>
            <w:tcW w:w="1632"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100</w:t>
            </w:r>
          </w:p>
        </w:tc>
        <w:tc>
          <w:tcPr>
            <w:tcW w:w="2023" w:type="dxa"/>
          </w:tcPr>
          <w:p w:rsidR="008040F6" w:rsidRPr="00AB4655" w:rsidRDefault="008040F6" w:rsidP="006F38F0">
            <w:pPr>
              <w:spacing w:after="0" w:line="240" w:lineRule="auto"/>
              <w:jc w:val="center"/>
              <w:cnfStyle w:val="000000000000"/>
              <w:rPr>
                <w:rFonts w:cs="Arial"/>
                <w:color w:val="000000"/>
              </w:rPr>
            </w:pPr>
            <w:r w:rsidRPr="00AB4655">
              <w:rPr>
                <w:rFonts w:cs="Arial"/>
                <w:color w:val="000000"/>
              </w:rPr>
              <w:t>2,04</w:t>
            </w:r>
          </w:p>
        </w:tc>
      </w:tr>
    </w:tbl>
    <w:p w:rsidR="00904364" w:rsidRPr="00AB4655" w:rsidRDefault="00904364" w:rsidP="008040F6">
      <w:pPr>
        <w:spacing w:before="0" w:after="0"/>
        <w:rPr>
          <w:rFonts w:cs="Arial"/>
        </w:rPr>
      </w:pPr>
    </w:p>
    <w:p w:rsidR="00540606" w:rsidRPr="00AB4655" w:rsidRDefault="00540606" w:rsidP="0018353C">
      <w:pPr>
        <w:spacing w:before="0" w:after="0"/>
        <w:rPr>
          <w:rFonts w:cs="Arial"/>
        </w:rPr>
      </w:pPr>
      <w:r w:rsidRPr="00AB4655">
        <w:rPr>
          <w:rFonts w:cs="Arial"/>
        </w:rPr>
        <w:lastRenderedPageBreak/>
        <w:t xml:space="preserve">Los resultados obtenidos coinciden con las investigaciones realizadas por López (2016) quien evaluó la incidencia de hongos del suelo en una colección de accesiones de garbanzo, los que fueron afectados por </w:t>
      </w:r>
      <w:r w:rsidRPr="00AB4655">
        <w:rPr>
          <w:rFonts w:cs="Arial"/>
          <w:i/>
        </w:rPr>
        <w:t xml:space="preserve">Fusarium </w:t>
      </w:r>
      <w:proofErr w:type="spellStart"/>
      <w:r w:rsidRPr="00AB4655">
        <w:rPr>
          <w:rFonts w:cs="Arial"/>
        </w:rPr>
        <w:t>sp</w:t>
      </w:r>
      <w:r w:rsidRPr="00AB4655">
        <w:rPr>
          <w:rFonts w:cs="Arial"/>
          <w:i/>
        </w:rPr>
        <w:t>.</w:t>
      </w:r>
      <w:r w:rsidRPr="00AB4655">
        <w:rPr>
          <w:rFonts w:cs="Arial"/>
        </w:rPr>
        <w:t>y</w:t>
      </w:r>
      <w:r w:rsidRPr="00AB4655">
        <w:rPr>
          <w:rFonts w:cs="Arial"/>
          <w:i/>
        </w:rPr>
        <w:t>Macrophomina</w:t>
      </w:r>
      <w:proofErr w:type="spellEnd"/>
      <w:r w:rsidRPr="00AB4655">
        <w:rPr>
          <w:rFonts w:cs="Arial"/>
          <w:i/>
        </w:rPr>
        <w:t xml:space="preserve"> </w:t>
      </w:r>
      <w:proofErr w:type="spellStart"/>
      <w:r w:rsidRPr="00AB4655">
        <w:rPr>
          <w:rFonts w:cs="Arial"/>
          <w:i/>
        </w:rPr>
        <w:t>phaseolina</w:t>
      </w:r>
      <w:proofErr w:type="spellEnd"/>
      <w:r w:rsidRPr="00AB4655">
        <w:rPr>
          <w:rFonts w:cs="Arial"/>
        </w:rPr>
        <w:t xml:space="preserve">; </w:t>
      </w:r>
      <w:r w:rsidRPr="00AB4655">
        <w:rPr>
          <w:rFonts w:cs="Arial"/>
          <w:i/>
        </w:rPr>
        <w:t>Fusarium</w:t>
      </w:r>
      <w:r w:rsidRPr="00AB4655">
        <w:rPr>
          <w:rFonts w:cs="Arial"/>
        </w:rPr>
        <w:t xml:space="preserve"> constituyó el hongo con mayor incidencia en las accesiones evaluadas. </w:t>
      </w:r>
    </w:p>
    <w:p w:rsidR="00540606" w:rsidRPr="00AB4655" w:rsidRDefault="00540606" w:rsidP="0018353C">
      <w:pPr>
        <w:spacing w:before="0" w:after="0"/>
        <w:rPr>
          <w:rFonts w:cs="Arial"/>
          <w:sz w:val="23"/>
          <w:szCs w:val="23"/>
        </w:rPr>
      </w:pPr>
      <w:r w:rsidRPr="00AB4655">
        <w:rPr>
          <w:rFonts w:cs="Arial"/>
        </w:rPr>
        <w:t xml:space="preserve">Fierros </w:t>
      </w:r>
      <w:r w:rsidRPr="00AB4655">
        <w:rPr>
          <w:rFonts w:cs="Arial"/>
          <w:i/>
        </w:rPr>
        <w:t>et al</w:t>
      </w:r>
      <w:r w:rsidRPr="00AB4655">
        <w:rPr>
          <w:rFonts w:cs="Arial"/>
        </w:rPr>
        <w:t xml:space="preserve">. (2019) reportaron que en el 74.3% de la superficie agrícola de la Costa de Hermosillo, México, se aislaron e identificaron las especies </w:t>
      </w:r>
      <w:proofErr w:type="spellStart"/>
      <w:r w:rsidRPr="00AB4655">
        <w:rPr>
          <w:rFonts w:cs="Arial"/>
          <w:i/>
          <w:iCs/>
        </w:rPr>
        <w:t>Macrophominaphaseolina</w:t>
      </w:r>
      <w:r w:rsidRPr="00AB4655">
        <w:rPr>
          <w:rFonts w:cs="Arial"/>
        </w:rPr>
        <w:t>y</w:t>
      </w:r>
      <w:proofErr w:type="spellEnd"/>
      <w:r w:rsidRPr="00AB4655">
        <w:rPr>
          <w:rFonts w:cs="Arial"/>
        </w:rPr>
        <w:t xml:space="preserve"> </w:t>
      </w:r>
      <w:r w:rsidRPr="00AB4655">
        <w:rPr>
          <w:rFonts w:cs="Arial"/>
          <w:i/>
          <w:iCs/>
        </w:rPr>
        <w:t xml:space="preserve">Fusarium </w:t>
      </w:r>
      <w:proofErr w:type="spellStart"/>
      <w:r w:rsidRPr="00AB4655">
        <w:rPr>
          <w:rFonts w:cs="Arial"/>
          <w:i/>
          <w:iCs/>
        </w:rPr>
        <w:t>oxysporum</w:t>
      </w:r>
      <w:r w:rsidRPr="00AB4655">
        <w:rPr>
          <w:rFonts w:cs="Arial"/>
        </w:rPr>
        <w:t>f</w:t>
      </w:r>
      <w:proofErr w:type="spellEnd"/>
      <w:r w:rsidRPr="00AB4655">
        <w:rPr>
          <w:rFonts w:cs="Arial"/>
        </w:rPr>
        <w:t xml:space="preserve">. </w:t>
      </w:r>
      <w:proofErr w:type="spellStart"/>
      <w:r w:rsidRPr="00AB4655">
        <w:rPr>
          <w:rFonts w:cs="Arial"/>
        </w:rPr>
        <w:t>sp.</w:t>
      </w:r>
      <w:proofErr w:type="spellEnd"/>
      <w:r w:rsidRPr="00AB4655">
        <w:rPr>
          <w:rFonts w:cs="Arial"/>
        </w:rPr>
        <w:t xml:space="preserve"> </w:t>
      </w:r>
      <w:proofErr w:type="spellStart"/>
      <w:proofErr w:type="gramStart"/>
      <w:r w:rsidRPr="00AB4655">
        <w:rPr>
          <w:rFonts w:cs="Arial"/>
          <w:i/>
          <w:iCs/>
        </w:rPr>
        <w:t>ciceris</w:t>
      </w:r>
      <w:proofErr w:type="spellEnd"/>
      <w:proofErr w:type="gramEnd"/>
      <w:r w:rsidRPr="00AB4655">
        <w:rPr>
          <w:rFonts w:cs="Arial"/>
          <w:i/>
          <w:iCs/>
        </w:rPr>
        <w:t>.</w:t>
      </w:r>
    </w:p>
    <w:p w:rsidR="00540606" w:rsidRPr="00AB4655" w:rsidRDefault="00540606" w:rsidP="0018353C">
      <w:pPr>
        <w:spacing w:before="0" w:after="0"/>
        <w:rPr>
          <w:rFonts w:cs="Arial"/>
        </w:rPr>
      </w:pPr>
      <w:r w:rsidRPr="00AB4655">
        <w:rPr>
          <w:rFonts w:cs="Arial"/>
        </w:rPr>
        <w:t xml:space="preserve">No se encontraron diferencias estadísticamente significativas entre los cultivares en cuanto  a la incidencia de </w:t>
      </w:r>
      <w:r w:rsidRPr="00AB4655">
        <w:rPr>
          <w:rFonts w:cs="Arial"/>
          <w:i/>
        </w:rPr>
        <w:t xml:space="preserve">Fusarium </w:t>
      </w:r>
      <w:proofErr w:type="spellStart"/>
      <w:r w:rsidRPr="00AB4655">
        <w:rPr>
          <w:rFonts w:cs="Arial"/>
        </w:rPr>
        <w:t>sp.</w:t>
      </w:r>
      <w:proofErr w:type="spellEnd"/>
      <w:r w:rsidRPr="00AB4655">
        <w:rPr>
          <w:rFonts w:cs="Arial"/>
        </w:rPr>
        <w:t xml:space="preserve">; los valores obtenidos fueron superiores al 30 %, lo que los clasifica como susceptibles a la enfermedad (Tabla 3). </w:t>
      </w:r>
    </w:p>
    <w:p w:rsidR="00540606" w:rsidRPr="00AB4655" w:rsidRDefault="00540606" w:rsidP="00540606">
      <w:pPr>
        <w:spacing w:after="0" w:line="240" w:lineRule="auto"/>
        <w:rPr>
          <w:rFonts w:cs="Arial"/>
        </w:rPr>
      </w:pPr>
      <w:r w:rsidRPr="00AB4655">
        <w:rPr>
          <w:rFonts w:cs="Arial"/>
        </w:rPr>
        <w:t xml:space="preserve">Tabla 3. Incidencia de </w:t>
      </w:r>
      <w:proofErr w:type="spellStart"/>
      <w:r w:rsidRPr="00AB4655">
        <w:rPr>
          <w:rFonts w:cs="Arial"/>
          <w:i/>
        </w:rPr>
        <w:t>Fusarium</w:t>
      </w:r>
      <w:r w:rsidRPr="00AB4655">
        <w:rPr>
          <w:rFonts w:cs="Arial"/>
        </w:rPr>
        <w:t>sp</w:t>
      </w:r>
      <w:proofErr w:type="spellEnd"/>
      <w:r w:rsidRPr="00AB4655">
        <w:rPr>
          <w:rFonts w:cs="Arial"/>
        </w:rPr>
        <w:t xml:space="preserve">. </w:t>
      </w:r>
      <w:proofErr w:type="gramStart"/>
      <w:r w:rsidRPr="00AB4655">
        <w:rPr>
          <w:rFonts w:cs="Arial"/>
        </w:rPr>
        <w:t>en</w:t>
      </w:r>
      <w:proofErr w:type="gramEnd"/>
      <w:r w:rsidRPr="00AB4655">
        <w:rPr>
          <w:rFonts w:cs="Arial"/>
        </w:rPr>
        <w:t xml:space="preserve"> cultivares de garbanzo (Porcentaje de plantas enfermas)</w:t>
      </w:r>
    </w:p>
    <w:tbl>
      <w:tblPr>
        <w:tblStyle w:val="Tablanormal21"/>
        <w:tblpPr w:leftFromText="141" w:rightFromText="141" w:vertAnchor="text" w:horzAnchor="margin" w:tblpXSpec="center" w:tblpY="174"/>
        <w:tblW w:w="0" w:type="auto"/>
        <w:tblLook w:val="04A0"/>
      </w:tblPr>
      <w:tblGrid>
        <w:gridCol w:w="1759"/>
        <w:gridCol w:w="817"/>
        <w:gridCol w:w="1741"/>
      </w:tblGrid>
      <w:tr w:rsidR="00540606" w:rsidRPr="00AB4655" w:rsidTr="00540606">
        <w:trPr>
          <w:cnfStyle w:val="100000000000"/>
          <w:trHeight w:val="300"/>
        </w:trPr>
        <w:tc>
          <w:tcPr>
            <w:cnfStyle w:val="001000000000"/>
            <w:tcW w:w="1759" w:type="dxa"/>
          </w:tcPr>
          <w:p w:rsidR="00540606" w:rsidRPr="00AB4655" w:rsidRDefault="00540606" w:rsidP="006F38F0">
            <w:pPr>
              <w:spacing w:after="0" w:line="240" w:lineRule="auto"/>
              <w:rPr>
                <w:rFonts w:eastAsia="Times New Roman" w:cs="Arial"/>
                <w:bCs w:val="0"/>
                <w:color w:val="000000"/>
              </w:rPr>
            </w:pPr>
            <w:r w:rsidRPr="00AB4655">
              <w:rPr>
                <w:rFonts w:eastAsia="Times New Roman" w:cs="Arial"/>
                <w:color w:val="000000"/>
              </w:rPr>
              <w:t>Cultivar</w:t>
            </w:r>
          </w:p>
        </w:tc>
        <w:tc>
          <w:tcPr>
            <w:tcW w:w="817" w:type="dxa"/>
          </w:tcPr>
          <w:p w:rsidR="00540606" w:rsidRPr="00AB4655" w:rsidRDefault="00540606" w:rsidP="006F38F0">
            <w:pPr>
              <w:spacing w:after="0" w:line="240" w:lineRule="auto"/>
              <w:jc w:val="center"/>
              <w:cnfStyle w:val="100000000000"/>
              <w:rPr>
                <w:rFonts w:eastAsia="Times New Roman" w:cs="Arial"/>
                <w:bCs w:val="0"/>
              </w:rPr>
            </w:pPr>
            <w:r w:rsidRPr="00AB4655">
              <w:rPr>
                <w:rFonts w:eastAsia="Times New Roman" w:cs="Arial"/>
              </w:rPr>
              <w:t>%</w:t>
            </w:r>
          </w:p>
        </w:tc>
        <w:tc>
          <w:tcPr>
            <w:tcW w:w="1741" w:type="dxa"/>
          </w:tcPr>
          <w:p w:rsidR="00540606" w:rsidRPr="00AB4655" w:rsidRDefault="00540606" w:rsidP="006F38F0">
            <w:pPr>
              <w:spacing w:after="0" w:line="240" w:lineRule="auto"/>
              <w:jc w:val="center"/>
              <w:cnfStyle w:val="100000000000"/>
              <w:rPr>
                <w:rFonts w:eastAsia="Times New Roman" w:cs="Arial"/>
                <w:bCs w:val="0"/>
                <w:color w:val="000000"/>
              </w:rPr>
            </w:pPr>
            <w:r w:rsidRPr="00AB4655">
              <w:rPr>
                <w:rFonts w:eastAsia="Times New Roman" w:cs="Arial"/>
                <w:color w:val="000000"/>
              </w:rPr>
              <w:t>Respuesta</w:t>
            </w:r>
          </w:p>
        </w:tc>
      </w:tr>
      <w:tr w:rsidR="00540606" w:rsidRPr="00AB4655" w:rsidTr="00540606">
        <w:trPr>
          <w:cnfStyle w:val="000000100000"/>
          <w:trHeight w:val="300"/>
        </w:trPr>
        <w:tc>
          <w:tcPr>
            <w:cnfStyle w:val="001000000000"/>
            <w:tcW w:w="1759" w:type="dxa"/>
          </w:tcPr>
          <w:p w:rsidR="00540606" w:rsidRPr="00AB4655" w:rsidRDefault="00540606" w:rsidP="006F38F0">
            <w:pPr>
              <w:spacing w:after="0" w:line="240" w:lineRule="auto"/>
              <w:rPr>
                <w:rFonts w:eastAsia="Times New Roman" w:cs="Arial"/>
                <w:b w:val="0"/>
                <w:bCs w:val="0"/>
                <w:color w:val="000000"/>
              </w:rPr>
            </w:pPr>
            <w:r w:rsidRPr="00AB4655">
              <w:rPr>
                <w:rFonts w:eastAsia="Times New Roman" w:cs="Arial"/>
                <w:b w:val="0"/>
                <w:color w:val="000000"/>
              </w:rPr>
              <w:t>Nacional 5HA</w:t>
            </w:r>
          </w:p>
        </w:tc>
        <w:tc>
          <w:tcPr>
            <w:tcW w:w="817" w:type="dxa"/>
          </w:tcPr>
          <w:p w:rsidR="00540606" w:rsidRPr="00AB4655" w:rsidRDefault="00540606" w:rsidP="006F38F0">
            <w:pPr>
              <w:spacing w:after="0" w:line="240" w:lineRule="auto"/>
              <w:jc w:val="center"/>
              <w:cnfStyle w:val="000000100000"/>
              <w:rPr>
                <w:rFonts w:eastAsia="Times New Roman" w:cs="Arial"/>
                <w:color w:val="000000"/>
              </w:rPr>
            </w:pPr>
            <w:r w:rsidRPr="00AB4655">
              <w:rPr>
                <w:rFonts w:eastAsia="Times New Roman" w:cs="Arial"/>
                <w:color w:val="000000"/>
              </w:rPr>
              <w:t>41,63</w:t>
            </w:r>
          </w:p>
        </w:tc>
        <w:tc>
          <w:tcPr>
            <w:tcW w:w="1741" w:type="dxa"/>
          </w:tcPr>
          <w:p w:rsidR="00540606" w:rsidRPr="00AB4655" w:rsidRDefault="00540606" w:rsidP="006F38F0">
            <w:pPr>
              <w:spacing w:after="0" w:line="240" w:lineRule="auto"/>
              <w:jc w:val="center"/>
              <w:cnfStyle w:val="000000100000"/>
              <w:rPr>
                <w:rFonts w:eastAsia="Times New Roman" w:cs="Arial"/>
                <w:color w:val="000000"/>
              </w:rPr>
            </w:pPr>
            <w:r w:rsidRPr="00AB4655">
              <w:rPr>
                <w:rFonts w:eastAsia="Times New Roman" w:cs="Arial"/>
                <w:color w:val="000000"/>
              </w:rPr>
              <w:t>Susceptible</w:t>
            </w:r>
          </w:p>
        </w:tc>
      </w:tr>
      <w:tr w:rsidR="00540606" w:rsidRPr="00AB4655" w:rsidTr="00540606">
        <w:trPr>
          <w:trHeight w:val="300"/>
        </w:trPr>
        <w:tc>
          <w:tcPr>
            <w:cnfStyle w:val="001000000000"/>
            <w:tcW w:w="1759" w:type="dxa"/>
          </w:tcPr>
          <w:p w:rsidR="00540606" w:rsidRPr="00AB4655" w:rsidRDefault="00540606" w:rsidP="006F38F0">
            <w:pPr>
              <w:spacing w:after="0" w:line="240" w:lineRule="auto"/>
              <w:rPr>
                <w:rFonts w:eastAsia="Times New Roman" w:cs="Arial"/>
                <w:b w:val="0"/>
                <w:bCs w:val="0"/>
                <w:color w:val="000000"/>
              </w:rPr>
            </w:pPr>
            <w:r w:rsidRPr="00AB4655">
              <w:rPr>
                <w:rFonts w:eastAsia="Times New Roman" w:cs="Arial"/>
                <w:b w:val="0"/>
                <w:color w:val="000000"/>
              </w:rPr>
              <w:t>DI-22</w:t>
            </w:r>
          </w:p>
        </w:tc>
        <w:tc>
          <w:tcPr>
            <w:tcW w:w="817" w:type="dxa"/>
          </w:tcPr>
          <w:p w:rsidR="00540606" w:rsidRPr="00AB4655" w:rsidRDefault="00540606" w:rsidP="006F38F0">
            <w:pPr>
              <w:spacing w:after="0" w:line="240" w:lineRule="auto"/>
              <w:jc w:val="center"/>
              <w:cnfStyle w:val="000000000000"/>
              <w:rPr>
                <w:rFonts w:eastAsia="Times New Roman" w:cs="Arial"/>
                <w:color w:val="000000"/>
              </w:rPr>
            </w:pPr>
            <w:r w:rsidRPr="00AB4655">
              <w:rPr>
                <w:rFonts w:eastAsia="Times New Roman" w:cs="Arial"/>
                <w:color w:val="000000"/>
              </w:rPr>
              <w:t>40,90</w:t>
            </w:r>
          </w:p>
        </w:tc>
        <w:tc>
          <w:tcPr>
            <w:tcW w:w="1741" w:type="dxa"/>
          </w:tcPr>
          <w:p w:rsidR="00540606" w:rsidRPr="00AB4655" w:rsidRDefault="00540606" w:rsidP="006F38F0">
            <w:pPr>
              <w:spacing w:after="0" w:line="240" w:lineRule="auto"/>
              <w:jc w:val="center"/>
              <w:cnfStyle w:val="000000000000"/>
              <w:rPr>
                <w:rFonts w:eastAsia="Times New Roman" w:cs="Arial"/>
                <w:color w:val="000000"/>
              </w:rPr>
            </w:pPr>
            <w:r w:rsidRPr="00AB4655">
              <w:rPr>
                <w:rFonts w:eastAsia="Times New Roman" w:cs="Arial"/>
                <w:color w:val="000000"/>
              </w:rPr>
              <w:t>Susceptible</w:t>
            </w:r>
          </w:p>
        </w:tc>
      </w:tr>
      <w:tr w:rsidR="00540606" w:rsidRPr="00AB4655" w:rsidTr="00540606">
        <w:trPr>
          <w:cnfStyle w:val="000000100000"/>
          <w:trHeight w:val="300"/>
        </w:trPr>
        <w:tc>
          <w:tcPr>
            <w:cnfStyle w:val="001000000000"/>
            <w:tcW w:w="1759" w:type="dxa"/>
          </w:tcPr>
          <w:p w:rsidR="00540606" w:rsidRPr="00AB4655" w:rsidRDefault="00540606" w:rsidP="006F38F0">
            <w:pPr>
              <w:spacing w:after="0" w:line="240" w:lineRule="auto"/>
              <w:rPr>
                <w:rFonts w:eastAsia="Times New Roman" w:cs="Arial"/>
                <w:b w:val="0"/>
                <w:bCs w:val="0"/>
                <w:color w:val="000000"/>
              </w:rPr>
            </w:pPr>
            <w:r w:rsidRPr="00AB4655">
              <w:rPr>
                <w:rFonts w:eastAsia="Times New Roman" w:cs="Arial"/>
                <w:b w:val="0"/>
                <w:color w:val="000000"/>
              </w:rPr>
              <w:t>DI-117</w:t>
            </w:r>
          </w:p>
        </w:tc>
        <w:tc>
          <w:tcPr>
            <w:tcW w:w="817" w:type="dxa"/>
          </w:tcPr>
          <w:p w:rsidR="00540606" w:rsidRPr="00AB4655" w:rsidRDefault="00540606" w:rsidP="006F38F0">
            <w:pPr>
              <w:spacing w:after="0" w:line="240" w:lineRule="auto"/>
              <w:jc w:val="center"/>
              <w:cnfStyle w:val="000000100000"/>
              <w:rPr>
                <w:rFonts w:eastAsia="Times New Roman" w:cs="Arial"/>
                <w:color w:val="000000"/>
              </w:rPr>
            </w:pPr>
            <w:r w:rsidRPr="00AB4655">
              <w:rPr>
                <w:rFonts w:eastAsia="Times New Roman" w:cs="Arial"/>
                <w:color w:val="000000"/>
              </w:rPr>
              <w:t>33,10</w:t>
            </w:r>
          </w:p>
        </w:tc>
        <w:tc>
          <w:tcPr>
            <w:tcW w:w="1741" w:type="dxa"/>
          </w:tcPr>
          <w:p w:rsidR="00540606" w:rsidRPr="00AB4655" w:rsidRDefault="00540606" w:rsidP="006F38F0">
            <w:pPr>
              <w:spacing w:after="0" w:line="240" w:lineRule="auto"/>
              <w:jc w:val="center"/>
              <w:cnfStyle w:val="000000100000"/>
              <w:rPr>
                <w:rFonts w:eastAsia="Times New Roman" w:cs="Arial"/>
                <w:color w:val="000000"/>
              </w:rPr>
            </w:pPr>
            <w:r w:rsidRPr="00AB4655">
              <w:rPr>
                <w:rFonts w:eastAsia="Times New Roman" w:cs="Arial"/>
                <w:color w:val="000000"/>
              </w:rPr>
              <w:t>Susceptible</w:t>
            </w:r>
          </w:p>
        </w:tc>
      </w:tr>
    </w:tbl>
    <w:p w:rsidR="00540606" w:rsidRPr="00AB4655" w:rsidRDefault="00540606" w:rsidP="00540606">
      <w:pPr>
        <w:spacing w:after="0" w:line="240" w:lineRule="auto"/>
        <w:rPr>
          <w:rFonts w:cs="Arial"/>
        </w:rPr>
      </w:pPr>
    </w:p>
    <w:p w:rsidR="00540606" w:rsidRPr="00AB4655" w:rsidRDefault="00540606" w:rsidP="00540606">
      <w:pPr>
        <w:spacing w:after="0" w:line="240" w:lineRule="auto"/>
        <w:rPr>
          <w:rFonts w:cs="Arial"/>
        </w:rPr>
      </w:pPr>
    </w:p>
    <w:p w:rsidR="00540606" w:rsidRPr="00AB4655" w:rsidRDefault="00540606" w:rsidP="00540606">
      <w:pPr>
        <w:spacing w:after="0" w:line="240" w:lineRule="auto"/>
        <w:rPr>
          <w:rFonts w:cs="Arial"/>
        </w:rPr>
      </w:pPr>
    </w:p>
    <w:p w:rsidR="00540606" w:rsidRPr="00AB4655" w:rsidRDefault="00540606" w:rsidP="00540606">
      <w:pPr>
        <w:spacing w:after="0" w:line="240" w:lineRule="auto"/>
        <w:rPr>
          <w:rFonts w:cs="Arial"/>
        </w:rPr>
      </w:pPr>
    </w:p>
    <w:p w:rsidR="00540606" w:rsidRPr="00AB4655" w:rsidRDefault="00540606" w:rsidP="00540606">
      <w:pPr>
        <w:spacing w:after="0" w:line="240" w:lineRule="auto"/>
        <w:rPr>
          <w:rFonts w:cs="Arial"/>
        </w:rPr>
      </w:pPr>
    </w:p>
    <w:p w:rsidR="00540606" w:rsidRPr="00AB4655" w:rsidRDefault="00540606" w:rsidP="0018353C">
      <w:pPr>
        <w:spacing w:before="0" w:after="0"/>
        <w:rPr>
          <w:rFonts w:cs="Arial"/>
        </w:rPr>
      </w:pPr>
      <w:r w:rsidRPr="00AB4655">
        <w:rPr>
          <w:rFonts w:cs="Arial"/>
        </w:rPr>
        <w:t>Los mayores valores de incidencia obtenidos en la investigación están dados por la precedencia en el  área donde se desarrolló el experimento, de siembras continuas de garbanzo y frijol común (</w:t>
      </w:r>
      <w:proofErr w:type="spellStart"/>
      <w:r w:rsidRPr="00AB4655">
        <w:rPr>
          <w:rFonts w:cs="Arial"/>
          <w:i/>
        </w:rPr>
        <w:t>Phaseolusvugaris</w:t>
      </w:r>
      <w:proofErr w:type="spellEnd"/>
      <w:r w:rsidRPr="00AB4655">
        <w:rPr>
          <w:rFonts w:cs="Arial"/>
        </w:rPr>
        <w:t xml:space="preserve"> L.) durante ocho años, período en el que se ha observado un incremento progresivo de la incidencia del complejo de hongos patógenos del suelo, lo que denota la alta presión de inóculo presente en el mismo.  </w:t>
      </w:r>
    </w:p>
    <w:p w:rsidR="00540606" w:rsidRPr="00AB4655" w:rsidRDefault="00540606" w:rsidP="0018353C">
      <w:pPr>
        <w:spacing w:before="0" w:after="0"/>
        <w:rPr>
          <w:rFonts w:cs="Arial"/>
        </w:rPr>
      </w:pPr>
      <w:proofErr w:type="spellStart"/>
      <w:r w:rsidRPr="00AB4655">
        <w:rPr>
          <w:rFonts w:cs="Arial"/>
        </w:rPr>
        <w:t>Pande</w:t>
      </w:r>
      <w:r w:rsidRPr="00AB4655">
        <w:rPr>
          <w:rFonts w:cs="Arial"/>
          <w:i/>
        </w:rPr>
        <w:t>et</w:t>
      </w:r>
      <w:proofErr w:type="spellEnd"/>
      <w:r w:rsidRPr="00AB4655">
        <w:rPr>
          <w:rFonts w:cs="Arial"/>
          <w:i/>
        </w:rPr>
        <w:t xml:space="preserve"> al.</w:t>
      </w:r>
      <w:r w:rsidRPr="00AB4655">
        <w:rPr>
          <w:rFonts w:cs="Arial"/>
        </w:rPr>
        <w:t xml:space="preserve"> (2007) reportaron un incremento en el número de plantas enfermas, así como de </w:t>
      </w:r>
      <w:proofErr w:type="spellStart"/>
      <w:r w:rsidRPr="00AB4655">
        <w:rPr>
          <w:rFonts w:cs="Arial"/>
        </w:rPr>
        <w:t>propágulos</w:t>
      </w:r>
      <w:proofErr w:type="spellEnd"/>
      <w:r w:rsidRPr="00AB4655">
        <w:rPr>
          <w:rFonts w:cs="Arial"/>
        </w:rPr>
        <w:t xml:space="preserve"> del hongo en el suelo, al sembrar durante tres ciclos del cultivo, semillas provenientes de plantas de garbanzo con síntomas de marchitez. </w:t>
      </w:r>
    </w:p>
    <w:p w:rsidR="00540606" w:rsidRPr="00AB4655" w:rsidRDefault="00540606" w:rsidP="0018353C">
      <w:pPr>
        <w:spacing w:before="0" w:after="0"/>
        <w:rPr>
          <w:rFonts w:cs="Arial"/>
          <w:shd w:val="clear" w:color="auto" w:fill="FFFFFF"/>
        </w:rPr>
      </w:pPr>
      <w:r w:rsidRPr="00AB4655">
        <w:rPr>
          <w:rFonts w:cs="Arial"/>
          <w:color w:val="000000"/>
        </w:rPr>
        <w:t xml:space="preserve">El análisis de la incidencia de </w:t>
      </w:r>
      <w:proofErr w:type="spellStart"/>
      <w:r w:rsidRPr="00AB4655">
        <w:rPr>
          <w:rFonts w:cs="Arial"/>
          <w:i/>
          <w:color w:val="000000"/>
        </w:rPr>
        <w:t>F</w:t>
      </w:r>
      <w:r w:rsidRPr="00AB4655">
        <w:rPr>
          <w:rFonts w:cs="Arial"/>
          <w:i/>
        </w:rPr>
        <w:t>usarium</w:t>
      </w:r>
      <w:r w:rsidRPr="00AB4655">
        <w:rPr>
          <w:rFonts w:cs="Arial"/>
        </w:rPr>
        <w:t>sp</w:t>
      </w:r>
      <w:proofErr w:type="spellEnd"/>
      <w:r w:rsidRPr="00AB4655">
        <w:rPr>
          <w:rFonts w:cs="Arial"/>
        </w:rPr>
        <w:t xml:space="preserve">. </w:t>
      </w:r>
      <w:proofErr w:type="gramStart"/>
      <w:r w:rsidRPr="00AB4655">
        <w:rPr>
          <w:rFonts w:cs="Arial"/>
        </w:rPr>
        <w:t>mostró</w:t>
      </w:r>
      <w:proofErr w:type="gramEnd"/>
      <w:r w:rsidRPr="00AB4655">
        <w:rPr>
          <w:rFonts w:cs="Arial"/>
        </w:rPr>
        <w:t xml:space="preserve"> que los síntomas se observaron desde los inicios del crecimiento vegetativo, hasta finales de la madurez fisiológica. </w:t>
      </w:r>
      <w:r w:rsidRPr="00AB4655">
        <w:rPr>
          <w:rFonts w:cs="Arial"/>
          <w:shd w:val="clear" w:color="auto" w:fill="FFFFFF"/>
        </w:rPr>
        <w:t xml:space="preserve">Las mayores afectaciones se encontraron en la fase llenado de legumbres (Figura 1), resultados que coinciden con los obtenidos por Nene </w:t>
      </w:r>
      <w:r w:rsidRPr="00AB4655">
        <w:rPr>
          <w:rFonts w:cs="Arial"/>
          <w:i/>
          <w:shd w:val="clear" w:color="auto" w:fill="FFFFFF"/>
        </w:rPr>
        <w:t xml:space="preserve">et al. </w:t>
      </w:r>
      <w:r w:rsidRPr="00AB4655">
        <w:rPr>
          <w:rFonts w:cs="Arial"/>
          <w:shd w:val="clear" w:color="auto" w:fill="FFFFFF"/>
        </w:rPr>
        <w:t>(1991).</w:t>
      </w:r>
    </w:p>
    <w:p w:rsidR="00540606" w:rsidRPr="00AB4655" w:rsidRDefault="00540606" w:rsidP="0018353C">
      <w:pPr>
        <w:spacing w:before="0" w:after="0"/>
        <w:rPr>
          <w:rFonts w:cs="Arial"/>
        </w:rPr>
      </w:pPr>
    </w:p>
    <w:p w:rsidR="00540606" w:rsidRPr="00AB4655" w:rsidRDefault="00540606" w:rsidP="00540606">
      <w:pPr>
        <w:spacing w:after="0" w:line="240" w:lineRule="auto"/>
        <w:rPr>
          <w:rFonts w:cs="Arial"/>
        </w:rPr>
      </w:pPr>
    </w:p>
    <w:p w:rsidR="00540606" w:rsidRPr="00AB4655" w:rsidRDefault="00540606" w:rsidP="00540606">
      <w:pPr>
        <w:spacing w:after="0" w:line="240" w:lineRule="auto"/>
        <w:jc w:val="center"/>
        <w:rPr>
          <w:rFonts w:cs="Arial"/>
        </w:rPr>
      </w:pPr>
      <w:r w:rsidRPr="00AB4655">
        <w:rPr>
          <w:noProof/>
        </w:rPr>
        <w:lastRenderedPageBreak/>
        <w:drawing>
          <wp:inline distT="0" distB="0" distL="0" distR="0">
            <wp:extent cx="4189444" cy="2202024"/>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40606" w:rsidRPr="00AB4655" w:rsidRDefault="00540606" w:rsidP="00540606">
      <w:pPr>
        <w:spacing w:after="0" w:line="240" w:lineRule="auto"/>
        <w:rPr>
          <w:rFonts w:cs="Arial"/>
        </w:rPr>
      </w:pPr>
    </w:p>
    <w:p w:rsidR="00540606" w:rsidRPr="00AB4655" w:rsidRDefault="00540606" w:rsidP="00540606">
      <w:pPr>
        <w:spacing w:after="0" w:line="240" w:lineRule="auto"/>
        <w:jc w:val="center"/>
        <w:rPr>
          <w:rFonts w:cs="Arial"/>
          <w:sz w:val="22"/>
          <w:szCs w:val="22"/>
        </w:rPr>
      </w:pPr>
      <w:r w:rsidRPr="00AB4655">
        <w:rPr>
          <w:rFonts w:cs="Arial"/>
          <w:b/>
          <w:sz w:val="22"/>
          <w:szCs w:val="22"/>
        </w:rPr>
        <w:t>Leyenda:</w:t>
      </w:r>
      <w:r w:rsidRPr="00AB4655">
        <w:rPr>
          <w:rFonts w:cs="Arial"/>
          <w:sz w:val="22"/>
          <w:szCs w:val="22"/>
        </w:rPr>
        <w:t xml:space="preserve"> CV crecimiento vegetativo        Flor. </w:t>
      </w:r>
      <w:proofErr w:type="spellStart"/>
      <w:proofErr w:type="gramStart"/>
      <w:r w:rsidRPr="00AB4655">
        <w:rPr>
          <w:rFonts w:cs="Arial"/>
          <w:sz w:val="22"/>
          <w:szCs w:val="22"/>
        </w:rPr>
        <w:t>floraciónFleg</w:t>
      </w:r>
      <w:proofErr w:type="spellEnd"/>
      <w:proofErr w:type="gramEnd"/>
      <w:r w:rsidRPr="00AB4655">
        <w:rPr>
          <w:rFonts w:cs="Arial"/>
          <w:sz w:val="22"/>
          <w:szCs w:val="22"/>
        </w:rPr>
        <w:t xml:space="preserve">. </w:t>
      </w:r>
      <w:proofErr w:type="gramStart"/>
      <w:r w:rsidRPr="00AB4655">
        <w:rPr>
          <w:rFonts w:cs="Arial"/>
          <w:sz w:val="22"/>
          <w:szCs w:val="22"/>
        </w:rPr>
        <w:t>formación</w:t>
      </w:r>
      <w:proofErr w:type="gramEnd"/>
      <w:r w:rsidRPr="00AB4655">
        <w:rPr>
          <w:rFonts w:cs="Arial"/>
          <w:sz w:val="22"/>
          <w:szCs w:val="22"/>
        </w:rPr>
        <w:t xml:space="preserve"> de legumbres</w:t>
      </w:r>
    </w:p>
    <w:p w:rsidR="00540606" w:rsidRPr="00AB4655" w:rsidRDefault="00540606" w:rsidP="00540606">
      <w:pPr>
        <w:spacing w:after="0" w:line="240" w:lineRule="auto"/>
        <w:jc w:val="center"/>
        <w:rPr>
          <w:rFonts w:cs="Arial"/>
          <w:sz w:val="22"/>
          <w:szCs w:val="22"/>
        </w:rPr>
      </w:pPr>
      <w:proofErr w:type="spellStart"/>
      <w:r w:rsidRPr="00AB4655">
        <w:rPr>
          <w:rFonts w:cs="Arial"/>
          <w:sz w:val="22"/>
          <w:szCs w:val="22"/>
        </w:rPr>
        <w:t>Llleg</w:t>
      </w:r>
      <w:proofErr w:type="spellEnd"/>
      <w:r w:rsidRPr="00AB4655">
        <w:rPr>
          <w:rFonts w:cs="Arial"/>
          <w:sz w:val="22"/>
          <w:szCs w:val="22"/>
        </w:rPr>
        <w:t xml:space="preserve">. </w:t>
      </w:r>
      <w:proofErr w:type="gramStart"/>
      <w:r w:rsidRPr="00AB4655">
        <w:rPr>
          <w:rFonts w:cs="Arial"/>
          <w:sz w:val="22"/>
          <w:szCs w:val="22"/>
        </w:rPr>
        <w:t>llenado</w:t>
      </w:r>
      <w:proofErr w:type="gramEnd"/>
      <w:r w:rsidRPr="00AB4655">
        <w:rPr>
          <w:rFonts w:cs="Arial"/>
          <w:sz w:val="22"/>
          <w:szCs w:val="22"/>
        </w:rPr>
        <w:t xml:space="preserve"> de legumbres             MF madurez fisiológica</w:t>
      </w:r>
    </w:p>
    <w:p w:rsidR="00540606" w:rsidRPr="00AB4655" w:rsidRDefault="00540606" w:rsidP="00540606">
      <w:pPr>
        <w:spacing w:after="0" w:line="240" w:lineRule="auto"/>
        <w:rPr>
          <w:rFonts w:cs="Arial"/>
        </w:rPr>
      </w:pPr>
      <w:r w:rsidRPr="00AB4655">
        <w:rPr>
          <w:rFonts w:cs="Arial"/>
        </w:rPr>
        <w:t xml:space="preserve">Figura 1. Incidencia de </w:t>
      </w:r>
      <w:proofErr w:type="spellStart"/>
      <w:r w:rsidRPr="00AB4655">
        <w:rPr>
          <w:rFonts w:cs="Arial"/>
          <w:i/>
        </w:rPr>
        <w:t>Fusarium</w:t>
      </w:r>
      <w:r w:rsidRPr="00AB4655">
        <w:rPr>
          <w:rFonts w:cs="Arial"/>
        </w:rPr>
        <w:t>sp</w:t>
      </w:r>
      <w:proofErr w:type="spellEnd"/>
      <w:r w:rsidRPr="00AB4655">
        <w:rPr>
          <w:rFonts w:cs="Arial"/>
        </w:rPr>
        <w:t xml:space="preserve">. </w:t>
      </w:r>
      <w:proofErr w:type="gramStart"/>
      <w:r w:rsidRPr="00AB4655">
        <w:rPr>
          <w:rFonts w:cs="Arial"/>
        </w:rPr>
        <w:t>en</w:t>
      </w:r>
      <w:proofErr w:type="gramEnd"/>
      <w:r w:rsidRPr="00AB4655">
        <w:rPr>
          <w:rFonts w:cs="Arial"/>
        </w:rPr>
        <w:t xml:space="preserve"> garbanzo, cultivar </w:t>
      </w:r>
      <w:r w:rsidRPr="00AB4655">
        <w:rPr>
          <w:rFonts w:cs="Arial"/>
          <w:color w:val="000000"/>
        </w:rPr>
        <w:t>Nacional 5HA</w:t>
      </w:r>
      <w:r w:rsidRPr="00AB4655">
        <w:rPr>
          <w:rFonts w:cs="Arial"/>
        </w:rPr>
        <w:t xml:space="preserve"> (Porcentaje de   plantas enfermas) </w:t>
      </w:r>
    </w:p>
    <w:p w:rsidR="004A3A4B" w:rsidRPr="00AB4655" w:rsidRDefault="004A3A4B" w:rsidP="004A3A4B">
      <w:pPr>
        <w:pStyle w:val="Ttulo1"/>
        <w:numPr>
          <w:ilvl w:val="0"/>
          <w:numId w:val="0"/>
        </w:numPr>
        <w:spacing w:before="0" w:after="0" w:line="360" w:lineRule="auto"/>
        <w:ind w:hanging="432"/>
        <w:rPr>
          <w:rFonts w:cs="Arial"/>
        </w:rPr>
      </w:pPr>
    </w:p>
    <w:p w:rsidR="008E0084" w:rsidRPr="00AB4655" w:rsidRDefault="004A3A4B" w:rsidP="00614362">
      <w:pPr>
        <w:pStyle w:val="Ttulo1"/>
        <w:numPr>
          <w:ilvl w:val="0"/>
          <w:numId w:val="0"/>
        </w:numPr>
        <w:spacing w:before="0" w:after="0" w:line="360" w:lineRule="auto"/>
        <w:ind w:hanging="432"/>
        <w:rPr>
          <w:rFonts w:cs="Arial"/>
        </w:rPr>
      </w:pPr>
      <w:r w:rsidRPr="00AB4655">
        <w:rPr>
          <w:rFonts w:cs="Arial"/>
        </w:rPr>
        <w:t xml:space="preserve">      4 C</w:t>
      </w:r>
      <w:r w:rsidR="00F446E0" w:rsidRPr="00AB4655">
        <w:rPr>
          <w:rFonts w:cs="Arial"/>
          <w:caps w:val="0"/>
        </w:rPr>
        <w:t>onclusiones</w:t>
      </w:r>
    </w:p>
    <w:p w:rsidR="00336E6C" w:rsidRPr="00AB4655" w:rsidRDefault="00336E6C" w:rsidP="00614362">
      <w:pPr>
        <w:spacing w:before="0" w:after="0"/>
      </w:pPr>
      <w:r w:rsidRPr="00AB4655">
        <w:rPr>
          <w:rFonts w:cs="Arial"/>
        </w:rPr>
        <w:t xml:space="preserve">Como conclusiones de la investigación </w:t>
      </w:r>
      <w:r w:rsidRPr="00AB4655">
        <w:rPr>
          <w:rFonts w:cs="Arial"/>
          <w:i/>
        </w:rPr>
        <w:t xml:space="preserve">Fusarium </w:t>
      </w:r>
      <w:r w:rsidRPr="00AB4655">
        <w:rPr>
          <w:rFonts w:cs="Arial"/>
        </w:rPr>
        <w:t xml:space="preserve">sp.se detectó en el 100% de las plantas con síntomas, seguido por </w:t>
      </w:r>
      <w:r w:rsidRPr="00AB4655">
        <w:rPr>
          <w:rFonts w:cs="Arial"/>
          <w:i/>
        </w:rPr>
        <w:t xml:space="preserve">Macrophomina phaseolina. </w:t>
      </w:r>
      <w:r w:rsidRPr="00AB4655">
        <w:rPr>
          <w:rFonts w:cs="Arial"/>
        </w:rPr>
        <w:t xml:space="preserve">No se encontraron diferencias estadísticas significativas entre los cultivares respecto a la incidencia de </w:t>
      </w:r>
      <w:r w:rsidRPr="00AB4655">
        <w:rPr>
          <w:rFonts w:cs="Arial"/>
          <w:i/>
        </w:rPr>
        <w:t>Fusarium</w:t>
      </w:r>
      <w:r w:rsidRPr="00AB4655">
        <w:rPr>
          <w:rFonts w:cs="Arial"/>
        </w:rPr>
        <w:t xml:space="preserve">, con valores superiores al 30 %. La etapa fenológica de la planta </w:t>
      </w:r>
      <w:r w:rsidRPr="00AB4655">
        <w:rPr>
          <w:rFonts w:cs="Arial"/>
          <w:shd w:val="clear" w:color="auto" w:fill="FFFFFF"/>
        </w:rPr>
        <w:t>más afectada por la enfermedad fue el llenado de legumbres</w:t>
      </w:r>
    </w:p>
    <w:p w:rsidR="008E0084" w:rsidRPr="00AB4655" w:rsidRDefault="004A3A4B" w:rsidP="004A3A4B">
      <w:pPr>
        <w:pStyle w:val="Ttulo1"/>
        <w:numPr>
          <w:ilvl w:val="0"/>
          <w:numId w:val="0"/>
        </w:numPr>
        <w:spacing w:before="0" w:after="0" w:line="360" w:lineRule="auto"/>
        <w:ind w:hanging="432"/>
        <w:rPr>
          <w:rFonts w:cs="Arial"/>
        </w:rPr>
      </w:pPr>
      <w:r w:rsidRPr="00AB4655">
        <w:rPr>
          <w:rFonts w:cs="Arial"/>
        </w:rPr>
        <w:t xml:space="preserve">      5 </w:t>
      </w:r>
      <w:r w:rsidR="00313CAE" w:rsidRPr="00AB4655">
        <w:rPr>
          <w:rFonts w:cs="Arial"/>
        </w:rPr>
        <w:t>r</w:t>
      </w:r>
      <w:r w:rsidR="00F446E0" w:rsidRPr="00AB4655">
        <w:rPr>
          <w:rFonts w:cs="Arial"/>
          <w:caps w:val="0"/>
        </w:rPr>
        <w:t>eferencias bibliográficas</w:t>
      </w:r>
    </w:p>
    <w:p w:rsidR="00BF4E45" w:rsidRPr="00AB4655" w:rsidRDefault="00BF4E45" w:rsidP="00CC6F47">
      <w:pPr>
        <w:pStyle w:val="Default"/>
        <w:numPr>
          <w:ilvl w:val="0"/>
          <w:numId w:val="31"/>
        </w:numPr>
        <w:spacing w:line="360" w:lineRule="auto"/>
        <w:jc w:val="both"/>
        <w:rPr>
          <w:rFonts w:ascii="Arial" w:hAnsi="Arial" w:cs="Arial"/>
        </w:rPr>
      </w:pPr>
      <w:r w:rsidRPr="00F446E0">
        <w:rPr>
          <w:rFonts w:ascii="Arial" w:hAnsi="Arial" w:cs="Arial"/>
          <w:lang w:val="es-ES"/>
        </w:rPr>
        <w:t xml:space="preserve">DUARTE-LEAL, Y., ECHEVARRÍA-HERNÁNDEZ, A., MARTÍNEZ-COCA, B. </w:t>
      </w:r>
      <w:r w:rsidRPr="00F446E0">
        <w:rPr>
          <w:lang w:val="es-ES"/>
        </w:rPr>
        <w:br/>
      </w:r>
      <w:r w:rsidRPr="00F446E0">
        <w:rPr>
          <w:rFonts w:ascii="Arial" w:hAnsi="Arial" w:cs="Arial"/>
          <w:lang w:val="es-ES"/>
        </w:rPr>
        <w:t xml:space="preserve">2016. Identificación y caracterización de aislamientos de </w:t>
      </w:r>
      <w:r w:rsidRPr="00F446E0">
        <w:rPr>
          <w:rFonts w:ascii="Arial" w:hAnsi="Arial" w:cs="Arial"/>
          <w:i/>
          <w:lang w:val="es-ES"/>
        </w:rPr>
        <w:t>Fusarium</w:t>
      </w:r>
      <w:r w:rsidRPr="00F446E0">
        <w:rPr>
          <w:rFonts w:ascii="Arial" w:hAnsi="Arial" w:cs="Arial"/>
          <w:lang w:val="es-ES"/>
        </w:rPr>
        <w:t xml:space="preserve"> </w:t>
      </w:r>
      <w:proofErr w:type="spellStart"/>
      <w:r w:rsidRPr="00F446E0">
        <w:rPr>
          <w:rFonts w:ascii="Arial" w:hAnsi="Arial" w:cs="Arial"/>
          <w:lang w:val="es-ES"/>
        </w:rPr>
        <w:t>spp</w:t>
      </w:r>
      <w:proofErr w:type="spellEnd"/>
      <w:r w:rsidRPr="00F446E0">
        <w:rPr>
          <w:rFonts w:ascii="Arial" w:hAnsi="Arial" w:cs="Arial"/>
          <w:lang w:val="es-ES"/>
        </w:rPr>
        <w:t>. presentes en garbanzo (</w:t>
      </w:r>
      <w:proofErr w:type="spellStart"/>
      <w:r w:rsidRPr="00F446E0">
        <w:rPr>
          <w:rFonts w:ascii="Arial" w:hAnsi="Arial" w:cs="Arial"/>
          <w:i/>
          <w:lang w:val="es-ES"/>
        </w:rPr>
        <w:t>Cicerarietinum</w:t>
      </w:r>
      <w:proofErr w:type="spellEnd"/>
      <w:r w:rsidRPr="00F446E0">
        <w:rPr>
          <w:rFonts w:ascii="Arial" w:hAnsi="Arial" w:cs="Arial"/>
          <w:lang w:val="es-ES"/>
        </w:rPr>
        <w:t xml:space="preserve"> L.) en Cuba. </w:t>
      </w:r>
      <w:proofErr w:type="spellStart"/>
      <w:r w:rsidRPr="00AB4655">
        <w:rPr>
          <w:rFonts w:ascii="Arial" w:hAnsi="Arial" w:cs="Arial"/>
        </w:rPr>
        <w:t>RevistaProtección</w:t>
      </w:r>
      <w:proofErr w:type="spellEnd"/>
      <w:r w:rsidRPr="00AB4655">
        <w:rPr>
          <w:rFonts w:ascii="Arial" w:hAnsi="Arial" w:cs="Arial"/>
        </w:rPr>
        <w:t xml:space="preserve"> Vegetal, 31(3):173-183.</w:t>
      </w:r>
    </w:p>
    <w:p w:rsidR="00614362" w:rsidRPr="00F446E0" w:rsidRDefault="00614362" w:rsidP="00614362">
      <w:pPr>
        <w:pStyle w:val="Default"/>
        <w:numPr>
          <w:ilvl w:val="0"/>
          <w:numId w:val="31"/>
        </w:numPr>
        <w:spacing w:line="360" w:lineRule="auto"/>
        <w:jc w:val="both"/>
        <w:rPr>
          <w:rFonts w:ascii="Arial" w:hAnsi="Arial" w:cs="Arial"/>
          <w:lang w:val="es-ES"/>
        </w:rPr>
      </w:pPr>
      <w:r w:rsidRPr="00F446E0">
        <w:rPr>
          <w:rFonts w:ascii="Arial" w:hAnsi="Arial" w:cs="Arial"/>
          <w:lang w:val="es-ES"/>
        </w:rPr>
        <w:t xml:space="preserve">FIERROS H., GALLEGOS J., ORTEGA P., PADILLA I., ÁLVAREZ A., RAMÍREZ M., VELARDE S. </w:t>
      </w:r>
      <w:r w:rsidRPr="00F446E0">
        <w:rPr>
          <w:rFonts w:ascii="Arial" w:hAnsi="Arial" w:cs="Arial"/>
          <w:bCs/>
          <w:lang w:val="es-ES"/>
        </w:rPr>
        <w:t xml:space="preserve">2019. Distribución de </w:t>
      </w:r>
      <w:proofErr w:type="spellStart"/>
      <w:r w:rsidRPr="00F446E0">
        <w:rPr>
          <w:rFonts w:ascii="Arial" w:hAnsi="Arial" w:cs="Arial"/>
          <w:bCs/>
          <w:lang w:val="es-ES"/>
        </w:rPr>
        <w:t>hongosasociados</w:t>
      </w:r>
      <w:proofErr w:type="spellEnd"/>
      <w:r w:rsidRPr="00F446E0">
        <w:rPr>
          <w:rFonts w:ascii="Arial" w:hAnsi="Arial" w:cs="Arial"/>
          <w:bCs/>
          <w:lang w:val="es-ES"/>
        </w:rPr>
        <w:t xml:space="preserve"> a pudriciones de </w:t>
      </w:r>
      <w:proofErr w:type="spellStart"/>
      <w:r w:rsidRPr="00F446E0">
        <w:rPr>
          <w:rFonts w:ascii="Arial" w:hAnsi="Arial" w:cs="Arial"/>
          <w:bCs/>
          <w:lang w:val="es-ES"/>
        </w:rPr>
        <w:t>raízdel</w:t>
      </w:r>
      <w:proofErr w:type="spellEnd"/>
      <w:r w:rsidRPr="00F446E0">
        <w:rPr>
          <w:rFonts w:ascii="Arial" w:hAnsi="Arial" w:cs="Arial"/>
          <w:bCs/>
          <w:lang w:val="es-ES"/>
        </w:rPr>
        <w:t xml:space="preserve"> garbanzo. </w:t>
      </w:r>
      <w:r w:rsidRPr="00F446E0">
        <w:rPr>
          <w:rFonts w:ascii="Arial" w:hAnsi="Arial" w:cs="Arial"/>
          <w:lang w:val="es-ES"/>
        </w:rPr>
        <w:t xml:space="preserve">Revista Mexicana de  </w:t>
      </w:r>
      <w:proofErr w:type="spellStart"/>
      <w:r w:rsidRPr="00F446E0">
        <w:rPr>
          <w:rFonts w:ascii="Arial" w:hAnsi="Arial" w:cs="Arial"/>
          <w:lang w:val="es-ES"/>
        </w:rPr>
        <w:t>CienciasAgrícolas</w:t>
      </w:r>
      <w:proofErr w:type="spellEnd"/>
      <w:r w:rsidRPr="00F446E0">
        <w:rPr>
          <w:rFonts w:ascii="Arial" w:hAnsi="Arial" w:cs="Arial"/>
          <w:lang w:val="es-ES"/>
        </w:rPr>
        <w:t>, volumen 10 (1):131-142.</w:t>
      </w:r>
    </w:p>
    <w:p w:rsidR="00614362" w:rsidRPr="00AB4655" w:rsidRDefault="00614362" w:rsidP="00614362">
      <w:pPr>
        <w:pStyle w:val="Prrafodelista"/>
        <w:numPr>
          <w:ilvl w:val="0"/>
          <w:numId w:val="31"/>
        </w:numPr>
        <w:suppressAutoHyphens/>
        <w:spacing w:after="0" w:line="360" w:lineRule="auto"/>
        <w:jc w:val="both"/>
        <w:rPr>
          <w:rFonts w:ascii="Arial" w:hAnsi="Arial" w:cs="Arial"/>
          <w:sz w:val="24"/>
          <w:szCs w:val="24"/>
        </w:rPr>
      </w:pPr>
      <w:r w:rsidRPr="00AB4655">
        <w:rPr>
          <w:rFonts w:ascii="Arial" w:hAnsi="Arial" w:cs="Arial"/>
          <w:bCs/>
          <w:sz w:val="24"/>
          <w:szCs w:val="24"/>
        </w:rPr>
        <w:lastRenderedPageBreak/>
        <w:t xml:space="preserve">GARCÍA J., GONZÁLEZ L., SHAGARODSKY T. 2008. Principales enfermedades del cultivo del garbanzo y posibles medidas de control. </w:t>
      </w:r>
      <w:proofErr w:type="spellStart"/>
      <w:r w:rsidRPr="00AB4655">
        <w:rPr>
          <w:rFonts w:ascii="Arial" w:hAnsi="Arial" w:cs="Arial"/>
          <w:bCs/>
          <w:sz w:val="24"/>
          <w:szCs w:val="24"/>
        </w:rPr>
        <w:t>Agrotecnia</w:t>
      </w:r>
      <w:proofErr w:type="spellEnd"/>
      <w:r w:rsidRPr="00AB4655">
        <w:rPr>
          <w:rFonts w:ascii="Arial" w:hAnsi="Arial" w:cs="Arial"/>
          <w:bCs/>
          <w:sz w:val="24"/>
          <w:szCs w:val="24"/>
        </w:rPr>
        <w:t xml:space="preserve"> de Cuba. V</w:t>
      </w:r>
      <w:r w:rsidRPr="00AB4655">
        <w:rPr>
          <w:rFonts w:ascii="Arial" w:hAnsi="Arial" w:cs="Arial"/>
          <w:sz w:val="24"/>
          <w:szCs w:val="24"/>
        </w:rPr>
        <w:t>olumen 32, No. 1:65-72.</w:t>
      </w:r>
    </w:p>
    <w:p w:rsidR="00614362" w:rsidRPr="00AB4655" w:rsidRDefault="00614362" w:rsidP="00614362">
      <w:pPr>
        <w:pStyle w:val="Prrafodelista"/>
        <w:numPr>
          <w:ilvl w:val="0"/>
          <w:numId w:val="31"/>
        </w:numPr>
        <w:suppressAutoHyphens/>
        <w:spacing w:after="0" w:line="360" w:lineRule="auto"/>
        <w:jc w:val="both"/>
        <w:rPr>
          <w:rFonts w:ascii="Arial" w:hAnsi="Arial" w:cs="Arial"/>
          <w:color w:val="0D0D0D"/>
          <w:sz w:val="24"/>
          <w:szCs w:val="24"/>
        </w:rPr>
      </w:pPr>
      <w:r w:rsidRPr="00AB4655">
        <w:rPr>
          <w:rFonts w:ascii="Arial" w:hAnsi="Arial" w:cs="Arial"/>
          <w:color w:val="0D0D0D"/>
          <w:sz w:val="24"/>
          <w:szCs w:val="24"/>
        </w:rPr>
        <w:t>HERNÁNDEZ, A.; PÉREZ, J.M.; BOSCH, D.; RIVERO, L. 2019. Nueva Versión de la Clasificación Genética de los Suelos de Cuba. Instituto de Suelos, AGRINFOR, Ciudad Habana, 64 p.</w:t>
      </w:r>
    </w:p>
    <w:p w:rsidR="00614362" w:rsidRPr="00AB4655" w:rsidRDefault="00614362" w:rsidP="00614362">
      <w:pPr>
        <w:pStyle w:val="Prrafodelista"/>
        <w:numPr>
          <w:ilvl w:val="0"/>
          <w:numId w:val="31"/>
        </w:numPr>
        <w:suppressAutoHyphens/>
        <w:spacing w:after="0" w:line="360" w:lineRule="auto"/>
        <w:jc w:val="both"/>
        <w:rPr>
          <w:rFonts w:ascii="Arial" w:hAnsi="Arial" w:cs="Arial"/>
          <w:color w:val="231F20"/>
          <w:sz w:val="24"/>
          <w:szCs w:val="24"/>
          <w:lang w:val="pt-PT"/>
        </w:rPr>
      </w:pPr>
      <w:r w:rsidRPr="00AB4655">
        <w:rPr>
          <w:rFonts w:ascii="Arial" w:hAnsi="Arial" w:cs="Arial"/>
          <w:color w:val="231F20"/>
          <w:sz w:val="24"/>
          <w:szCs w:val="24"/>
        </w:rPr>
        <w:t xml:space="preserve">JIMÉNEZ-DÍAZ, R. M., ALCALÁ-JIMÉNEZ, A.R., HERVÁS, A., AND TRAPERO-CASAS, J.L. 1993. </w:t>
      </w:r>
      <w:r w:rsidRPr="00AB4655">
        <w:rPr>
          <w:rFonts w:ascii="Arial" w:hAnsi="Arial" w:cs="Arial"/>
          <w:color w:val="231F20"/>
          <w:sz w:val="24"/>
          <w:szCs w:val="24"/>
          <w:lang w:val="en-US"/>
        </w:rPr>
        <w:t xml:space="preserve">Pathogenic variability and host resistance in the </w:t>
      </w:r>
      <w:proofErr w:type="spellStart"/>
      <w:r w:rsidRPr="00AB4655">
        <w:rPr>
          <w:rFonts w:ascii="Arial" w:hAnsi="Arial" w:cs="Arial"/>
          <w:i/>
          <w:iCs/>
          <w:color w:val="231F20"/>
          <w:sz w:val="24"/>
          <w:szCs w:val="24"/>
          <w:lang w:val="en-US"/>
        </w:rPr>
        <w:t>Fusariumoxysporum</w:t>
      </w:r>
      <w:r w:rsidRPr="00AB4655">
        <w:rPr>
          <w:rFonts w:ascii="Arial" w:hAnsi="Arial" w:cs="Arial"/>
          <w:color w:val="231F20"/>
          <w:sz w:val="24"/>
          <w:szCs w:val="24"/>
          <w:lang w:val="en-US"/>
        </w:rPr>
        <w:t>f</w:t>
      </w:r>
      <w:proofErr w:type="spellEnd"/>
      <w:r w:rsidRPr="00AB4655">
        <w:rPr>
          <w:rFonts w:ascii="Arial" w:hAnsi="Arial" w:cs="Arial"/>
          <w:color w:val="231F20"/>
          <w:sz w:val="24"/>
          <w:szCs w:val="24"/>
          <w:lang w:val="en-US"/>
        </w:rPr>
        <w:t xml:space="preserve">. sp. </w:t>
      </w:r>
      <w:proofErr w:type="spellStart"/>
      <w:r w:rsidRPr="00AB4655">
        <w:rPr>
          <w:rFonts w:ascii="Arial" w:hAnsi="Arial" w:cs="Arial"/>
          <w:i/>
          <w:iCs/>
          <w:color w:val="231F20"/>
          <w:sz w:val="24"/>
          <w:szCs w:val="24"/>
          <w:lang w:val="en-US"/>
        </w:rPr>
        <w:t>ciceris</w:t>
      </w:r>
      <w:proofErr w:type="spellEnd"/>
      <w:r w:rsidRPr="00AB4655">
        <w:rPr>
          <w:rFonts w:ascii="Arial" w:hAnsi="Arial" w:cs="Arial"/>
          <w:color w:val="231F20"/>
          <w:sz w:val="24"/>
          <w:szCs w:val="24"/>
          <w:lang w:val="en-US"/>
        </w:rPr>
        <w:t>/</w:t>
      </w:r>
      <w:proofErr w:type="spellStart"/>
      <w:r w:rsidRPr="00AB4655">
        <w:rPr>
          <w:rFonts w:ascii="Arial" w:hAnsi="Arial" w:cs="Arial"/>
          <w:i/>
          <w:iCs/>
          <w:color w:val="231F20"/>
          <w:sz w:val="24"/>
          <w:szCs w:val="24"/>
          <w:lang w:val="en-US"/>
        </w:rPr>
        <w:t>Cicerarietinum</w:t>
      </w:r>
      <w:r w:rsidRPr="00AB4655">
        <w:rPr>
          <w:rFonts w:ascii="Arial" w:hAnsi="Arial" w:cs="Arial"/>
          <w:color w:val="231F20"/>
          <w:sz w:val="24"/>
          <w:szCs w:val="24"/>
          <w:lang w:val="en-US"/>
        </w:rPr>
        <w:t>pathosystem</w:t>
      </w:r>
      <w:proofErr w:type="spellEnd"/>
      <w:r w:rsidRPr="00AB4655">
        <w:rPr>
          <w:rFonts w:ascii="Arial" w:hAnsi="Arial" w:cs="Arial"/>
          <w:color w:val="231F20"/>
          <w:sz w:val="24"/>
          <w:szCs w:val="24"/>
          <w:lang w:val="en-US"/>
        </w:rPr>
        <w:t xml:space="preserve">. pp. 87-94. In: E. </w:t>
      </w:r>
      <w:proofErr w:type="spellStart"/>
      <w:r w:rsidRPr="00AB4655">
        <w:rPr>
          <w:rFonts w:ascii="Arial" w:hAnsi="Arial" w:cs="Arial"/>
          <w:color w:val="231F20"/>
          <w:sz w:val="24"/>
          <w:szCs w:val="24"/>
          <w:lang w:val="en-US"/>
        </w:rPr>
        <w:t>Arseniuk</w:t>
      </w:r>
      <w:proofErr w:type="spellEnd"/>
      <w:r w:rsidRPr="00AB4655">
        <w:rPr>
          <w:rFonts w:ascii="Arial" w:hAnsi="Arial" w:cs="Arial"/>
          <w:color w:val="231F20"/>
          <w:sz w:val="24"/>
          <w:szCs w:val="24"/>
          <w:lang w:val="en-US"/>
        </w:rPr>
        <w:t>, and T. Goral (</w:t>
      </w:r>
      <w:proofErr w:type="gramStart"/>
      <w:r w:rsidRPr="00AB4655">
        <w:rPr>
          <w:rFonts w:ascii="Arial" w:hAnsi="Arial" w:cs="Arial"/>
          <w:color w:val="231F20"/>
          <w:sz w:val="24"/>
          <w:szCs w:val="24"/>
          <w:lang w:val="en-US"/>
        </w:rPr>
        <w:t>eds</w:t>
      </w:r>
      <w:proofErr w:type="gramEnd"/>
      <w:r w:rsidRPr="00AB4655">
        <w:rPr>
          <w:rFonts w:ascii="Arial" w:hAnsi="Arial" w:cs="Arial"/>
          <w:color w:val="231F20"/>
          <w:sz w:val="24"/>
          <w:szCs w:val="24"/>
          <w:lang w:val="en-US"/>
        </w:rPr>
        <w:t xml:space="preserve">.). </w:t>
      </w:r>
      <w:proofErr w:type="spellStart"/>
      <w:r w:rsidRPr="00AB4655">
        <w:rPr>
          <w:rFonts w:ascii="Arial" w:hAnsi="Arial" w:cs="Arial"/>
          <w:i/>
          <w:color w:val="231F20"/>
          <w:sz w:val="24"/>
          <w:szCs w:val="24"/>
          <w:lang w:val="en-US"/>
        </w:rPr>
        <w:t>Fusarium</w:t>
      </w:r>
      <w:r w:rsidRPr="00AB4655">
        <w:rPr>
          <w:rFonts w:ascii="Arial" w:hAnsi="Arial" w:cs="Arial"/>
          <w:color w:val="231F20"/>
          <w:sz w:val="24"/>
          <w:szCs w:val="24"/>
          <w:lang w:val="en-US"/>
        </w:rPr>
        <w:t>Mycotoxins</w:t>
      </w:r>
      <w:proofErr w:type="spellEnd"/>
      <w:r w:rsidRPr="00AB4655">
        <w:rPr>
          <w:rFonts w:ascii="Arial" w:hAnsi="Arial" w:cs="Arial"/>
          <w:color w:val="231F20"/>
          <w:sz w:val="24"/>
          <w:szCs w:val="24"/>
          <w:lang w:val="en-US"/>
        </w:rPr>
        <w:t xml:space="preserve">, Taxonomy, </w:t>
      </w:r>
      <w:proofErr w:type="spellStart"/>
      <w:r w:rsidRPr="00AB4655">
        <w:rPr>
          <w:rFonts w:ascii="Arial" w:hAnsi="Arial" w:cs="Arial"/>
          <w:color w:val="231F20"/>
          <w:sz w:val="24"/>
          <w:szCs w:val="24"/>
          <w:lang w:val="en-US"/>
        </w:rPr>
        <w:t>Pathogenicity</w:t>
      </w:r>
      <w:proofErr w:type="spellEnd"/>
      <w:r w:rsidRPr="00AB4655">
        <w:rPr>
          <w:rFonts w:ascii="Arial" w:hAnsi="Arial" w:cs="Arial"/>
          <w:color w:val="231F20"/>
          <w:sz w:val="24"/>
          <w:szCs w:val="24"/>
          <w:lang w:val="en-US"/>
        </w:rPr>
        <w:t xml:space="preserve"> and Host Resistance. Proceedings of the 3</w:t>
      </w:r>
      <w:r w:rsidRPr="00AB4655">
        <w:rPr>
          <w:rFonts w:ascii="Arial" w:hAnsi="Arial" w:cs="Arial"/>
          <w:color w:val="231F20"/>
          <w:sz w:val="24"/>
          <w:szCs w:val="24"/>
          <w:vertAlign w:val="superscript"/>
          <w:lang w:val="en-US"/>
        </w:rPr>
        <w:t>rd</w:t>
      </w:r>
      <w:r w:rsidRPr="00AB4655">
        <w:rPr>
          <w:rFonts w:ascii="Arial" w:hAnsi="Arial" w:cs="Arial"/>
          <w:color w:val="231F20"/>
          <w:sz w:val="24"/>
          <w:szCs w:val="24"/>
          <w:lang w:val="en-US"/>
        </w:rPr>
        <w:t xml:space="preserve"> European Seminar. Plant Breeding and Acclimatization Institute. </w:t>
      </w:r>
      <w:r w:rsidRPr="00AB4655">
        <w:rPr>
          <w:rFonts w:ascii="Arial" w:hAnsi="Arial" w:cs="Arial"/>
          <w:color w:val="231F20"/>
          <w:sz w:val="24"/>
          <w:szCs w:val="24"/>
          <w:lang w:val="pt-PT"/>
        </w:rPr>
        <w:t>Radzikov, Poland. 325 p.</w:t>
      </w:r>
    </w:p>
    <w:p w:rsidR="00614362" w:rsidRPr="00AB4655" w:rsidRDefault="00614362" w:rsidP="00614362">
      <w:pPr>
        <w:pStyle w:val="Prrafodelista"/>
        <w:numPr>
          <w:ilvl w:val="0"/>
          <w:numId w:val="31"/>
        </w:numPr>
        <w:suppressAutoHyphens/>
        <w:spacing w:after="0" w:line="360" w:lineRule="auto"/>
        <w:jc w:val="both"/>
        <w:rPr>
          <w:rFonts w:ascii="Arial" w:hAnsi="Arial" w:cs="Arial"/>
          <w:color w:val="0D0D0D"/>
          <w:sz w:val="24"/>
          <w:szCs w:val="24"/>
        </w:rPr>
      </w:pPr>
      <w:r w:rsidRPr="00AB4655">
        <w:rPr>
          <w:rFonts w:ascii="Arial" w:hAnsi="Arial" w:cs="Arial"/>
          <w:color w:val="0D0D0D"/>
          <w:sz w:val="24"/>
          <w:szCs w:val="24"/>
        </w:rPr>
        <w:t>LÓPEZ T. 2016. Incidencia del complejo de hongos patógenos del suelo en una colección de germoplasmas de garbanzo (</w:t>
      </w:r>
      <w:proofErr w:type="spellStart"/>
      <w:r w:rsidRPr="00AB4655">
        <w:rPr>
          <w:rFonts w:ascii="Arial" w:hAnsi="Arial" w:cs="Arial"/>
          <w:i/>
          <w:color w:val="0D0D0D"/>
          <w:sz w:val="24"/>
          <w:szCs w:val="24"/>
        </w:rPr>
        <w:t>Cicerarietinum</w:t>
      </w:r>
      <w:proofErr w:type="spellEnd"/>
      <w:r w:rsidRPr="00AB4655">
        <w:rPr>
          <w:rFonts w:ascii="Arial" w:hAnsi="Arial" w:cs="Arial"/>
          <w:color w:val="0D0D0D"/>
          <w:sz w:val="24"/>
          <w:szCs w:val="24"/>
        </w:rPr>
        <w:t xml:space="preserve"> L.). Tesis presentada en opción al Título Académico de Master en Agricultura Sostenible, Mención Sanidad Vegetal, FCA. 64 p.</w:t>
      </w:r>
    </w:p>
    <w:p w:rsidR="00475B54" w:rsidRPr="00AB4655" w:rsidRDefault="00475B54" w:rsidP="00475B54">
      <w:pPr>
        <w:pStyle w:val="Prrafodelista"/>
        <w:numPr>
          <w:ilvl w:val="0"/>
          <w:numId w:val="31"/>
        </w:numPr>
        <w:suppressAutoHyphens/>
        <w:spacing w:after="0" w:line="360" w:lineRule="auto"/>
        <w:jc w:val="both"/>
        <w:rPr>
          <w:rFonts w:ascii="Arial" w:hAnsi="Arial" w:cs="Arial"/>
          <w:sz w:val="24"/>
          <w:szCs w:val="24"/>
        </w:rPr>
      </w:pPr>
      <w:r w:rsidRPr="00AB4655">
        <w:rPr>
          <w:rFonts w:ascii="Arial" w:hAnsi="Arial" w:cs="Arial"/>
          <w:sz w:val="24"/>
          <w:szCs w:val="24"/>
        </w:rPr>
        <w:t xml:space="preserve">MARTÍNEZ-COCA, B., INFANTE, D.,  CARABALLO, W., et al. 2018.  Antagonismo de cepas de </w:t>
      </w:r>
      <w:proofErr w:type="spellStart"/>
      <w:r w:rsidRPr="00AB4655">
        <w:rPr>
          <w:rFonts w:ascii="Arial" w:hAnsi="Arial" w:cs="Arial"/>
          <w:i/>
          <w:sz w:val="24"/>
          <w:szCs w:val="24"/>
        </w:rPr>
        <w:t>Trichodermaasperellum</w:t>
      </w:r>
      <w:r w:rsidRPr="00AB4655">
        <w:rPr>
          <w:rFonts w:ascii="Arial" w:hAnsi="Arial" w:cs="Arial"/>
          <w:sz w:val="24"/>
          <w:szCs w:val="24"/>
        </w:rPr>
        <w:t>Samuels</w:t>
      </w:r>
      <w:proofErr w:type="spellEnd"/>
      <w:r w:rsidRPr="00AB4655">
        <w:rPr>
          <w:rFonts w:ascii="Arial" w:hAnsi="Arial" w:cs="Arial"/>
          <w:sz w:val="24"/>
          <w:szCs w:val="24"/>
        </w:rPr>
        <w:t xml:space="preserve">,  </w:t>
      </w:r>
      <w:proofErr w:type="spellStart"/>
      <w:r w:rsidRPr="00AB4655">
        <w:rPr>
          <w:rFonts w:ascii="Arial" w:hAnsi="Arial" w:cs="Arial"/>
          <w:sz w:val="24"/>
          <w:szCs w:val="24"/>
        </w:rPr>
        <w:t>Lieckfeldt&amp;Nirenberg</w:t>
      </w:r>
      <w:proofErr w:type="spellEnd"/>
      <w:r w:rsidRPr="00AB4655">
        <w:rPr>
          <w:rFonts w:ascii="Arial" w:hAnsi="Arial" w:cs="Arial"/>
          <w:sz w:val="24"/>
          <w:szCs w:val="24"/>
        </w:rPr>
        <w:t xml:space="preserve"> frente a aislamientos de </w:t>
      </w:r>
      <w:proofErr w:type="spellStart"/>
      <w:r w:rsidRPr="00AB4655">
        <w:rPr>
          <w:rFonts w:ascii="Arial" w:hAnsi="Arial" w:cs="Arial"/>
          <w:i/>
          <w:sz w:val="24"/>
          <w:szCs w:val="24"/>
        </w:rPr>
        <w:t>Fusarium</w:t>
      </w:r>
      <w:r w:rsidRPr="00AB4655">
        <w:rPr>
          <w:rFonts w:ascii="Arial" w:hAnsi="Arial" w:cs="Arial"/>
          <w:sz w:val="24"/>
          <w:szCs w:val="24"/>
        </w:rPr>
        <w:t>spp</w:t>
      </w:r>
      <w:proofErr w:type="spellEnd"/>
      <w:r w:rsidRPr="00AB4655">
        <w:rPr>
          <w:rFonts w:ascii="Arial" w:hAnsi="Arial" w:cs="Arial"/>
          <w:sz w:val="24"/>
          <w:szCs w:val="24"/>
        </w:rPr>
        <w:t xml:space="preserve">. procedentes de garbanzo. </w:t>
      </w:r>
      <w:r w:rsidRPr="00AB4655">
        <w:rPr>
          <w:sz w:val="24"/>
          <w:szCs w:val="24"/>
        </w:rPr>
        <w:br/>
      </w:r>
      <w:r w:rsidRPr="00AB4655">
        <w:rPr>
          <w:rFonts w:ascii="Arial" w:hAnsi="Arial" w:cs="Arial"/>
          <w:sz w:val="24"/>
          <w:szCs w:val="24"/>
        </w:rPr>
        <w:t>Revista de Protección Vegetal, 33(2):1-1</w:t>
      </w:r>
      <w:r w:rsidR="00F5269F">
        <w:rPr>
          <w:rFonts w:ascii="Arial" w:hAnsi="Arial" w:cs="Arial"/>
          <w:sz w:val="24"/>
          <w:szCs w:val="24"/>
        </w:rPr>
        <w:t>3</w:t>
      </w:r>
      <w:r w:rsidRPr="00AB4655">
        <w:rPr>
          <w:rFonts w:ascii="Arial" w:hAnsi="Arial" w:cs="Arial"/>
          <w:sz w:val="24"/>
          <w:szCs w:val="24"/>
        </w:rPr>
        <w:t>.</w:t>
      </w:r>
    </w:p>
    <w:p w:rsidR="00F34E55" w:rsidRPr="00AB4655" w:rsidRDefault="00F34E55" w:rsidP="00F34E55">
      <w:pPr>
        <w:pStyle w:val="Prrafodelista"/>
        <w:numPr>
          <w:ilvl w:val="0"/>
          <w:numId w:val="31"/>
        </w:numPr>
        <w:suppressAutoHyphens/>
        <w:spacing w:after="0" w:line="360" w:lineRule="auto"/>
        <w:rPr>
          <w:rFonts w:ascii="Arial" w:hAnsi="Arial" w:cs="Arial"/>
          <w:sz w:val="24"/>
          <w:szCs w:val="24"/>
        </w:rPr>
      </w:pPr>
      <w:r w:rsidRPr="00AB4655">
        <w:rPr>
          <w:rFonts w:ascii="Arial" w:hAnsi="Arial" w:cs="Arial"/>
          <w:sz w:val="24"/>
          <w:szCs w:val="24"/>
        </w:rPr>
        <w:t>MINAG. 2019. Lista Oficial de Variedades Comerciales 2019-2020. Dirección de Semillas y Recursos Fitogenéticos, Ministerio de la Agricultura, La Habana, 31p.</w:t>
      </w:r>
    </w:p>
    <w:p w:rsidR="00614362" w:rsidRPr="00AB4655" w:rsidRDefault="00614362" w:rsidP="00614362">
      <w:pPr>
        <w:pStyle w:val="Prrafodelista"/>
        <w:numPr>
          <w:ilvl w:val="0"/>
          <w:numId w:val="31"/>
        </w:numPr>
        <w:suppressAutoHyphens/>
        <w:spacing w:after="0" w:line="360" w:lineRule="auto"/>
        <w:jc w:val="both"/>
        <w:rPr>
          <w:rFonts w:ascii="Arial" w:hAnsi="Arial" w:cs="Arial"/>
          <w:sz w:val="24"/>
          <w:szCs w:val="24"/>
        </w:rPr>
      </w:pPr>
      <w:r w:rsidRPr="00AB4655">
        <w:rPr>
          <w:rFonts w:ascii="Arial" w:hAnsi="Arial" w:cs="Arial"/>
          <w:sz w:val="24"/>
          <w:szCs w:val="24"/>
          <w:lang w:val="en-US"/>
        </w:rPr>
        <w:t xml:space="preserve">MUEHLBAUER, F. J.; SHORT, R. W.; KAISER, W. J.; BEZDICEK, D. F.; MORRISON, K. J. AND SWAN, D.G. 1982. Description and Culture of chickpea. Washington State Univ. Coop. Ext. </w:t>
      </w:r>
      <w:r w:rsidRPr="00AB4655">
        <w:rPr>
          <w:rFonts w:ascii="Arial" w:hAnsi="Arial" w:cs="Arial"/>
          <w:sz w:val="24"/>
          <w:szCs w:val="24"/>
        </w:rPr>
        <w:t>Bull. EB 1112</w:t>
      </w:r>
    </w:p>
    <w:p w:rsidR="00614362" w:rsidRPr="00F446E0" w:rsidRDefault="00614362" w:rsidP="00614362">
      <w:pPr>
        <w:pStyle w:val="Prrafodelista"/>
        <w:numPr>
          <w:ilvl w:val="0"/>
          <w:numId w:val="31"/>
        </w:numPr>
        <w:suppressAutoHyphens/>
        <w:spacing w:after="0" w:line="360" w:lineRule="auto"/>
        <w:jc w:val="both"/>
        <w:rPr>
          <w:rFonts w:ascii="Arial" w:hAnsi="Arial" w:cs="Arial"/>
          <w:sz w:val="24"/>
          <w:szCs w:val="24"/>
          <w:lang w:val="en-US"/>
        </w:rPr>
      </w:pPr>
      <w:r w:rsidRPr="00AB4655">
        <w:rPr>
          <w:rFonts w:ascii="Arial" w:hAnsi="Arial" w:cs="Arial"/>
          <w:sz w:val="24"/>
          <w:szCs w:val="24"/>
          <w:lang w:val="en-US"/>
        </w:rPr>
        <w:t xml:space="preserve">NENE, Y. L.; REDDY, M. V.; HAWARE, M. P.; GHANEKAR, A. M. AND AMIN, K. S. 1991. Field diagnosis of chickpea diseases and their control. Information Bulletin no. 28. </w:t>
      </w:r>
      <w:proofErr w:type="spellStart"/>
      <w:r w:rsidRPr="00AB4655">
        <w:rPr>
          <w:rFonts w:ascii="Arial" w:hAnsi="Arial" w:cs="Arial"/>
          <w:sz w:val="24"/>
          <w:szCs w:val="24"/>
          <w:lang w:val="en-US"/>
        </w:rPr>
        <w:t>Patancheru</w:t>
      </w:r>
      <w:proofErr w:type="spellEnd"/>
      <w:r w:rsidRPr="00AB4655">
        <w:rPr>
          <w:rFonts w:ascii="Arial" w:hAnsi="Arial" w:cs="Arial"/>
          <w:sz w:val="24"/>
          <w:szCs w:val="24"/>
          <w:lang w:val="en-US"/>
        </w:rPr>
        <w:t xml:space="preserve">, Andhra Pradesh 502 324, India: International Crops Research Institute for the Semi-Arid Tropics (ICRISAT). </w:t>
      </w:r>
    </w:p>
    <w:p w:rsidR="00614362" w:rsidRPr="00AB4655" w:rsidRDefault="00614362" w:rsidP="00614362">
      <w:pPr>
        <w:pStyle w:val="Prrafodelista"/>
        <w:numPr>
          <w:ilvl w:val="0"/>
          <w:numId w:val="31"/>
        </w:numPr>
        <w:suppressAutoHyphens/>
        <w:spacing w:after="0" w:line="360" w:lineRule="auto"/>
        <w:jc w:val="both"/>
        <w:rPr>
          <w:rFonts w:ascii="Arial" w:hAnsi="Arial" w:cs="Arial"/>
          <w:sz w:val="24"/>
          <w:szCs w:val="24"/>
        </w:rPr>
      </w:pPr>
      <w:r w:rsidRPr="00AB4655">
        <w:rPr>
          <w:rFonts w:ascii="Arial" w:hAnsi="Arial" w:cs="Arial"/>
          <w:sz w:val="24"/>
          <w:szCs w:val="24"/>
          <w:lang w:val="en-US"/>
        </w:rPr>
        <w:lastRenderedPageBreak/>
        <w:t xml:space="preserve">NEUPANE, R. K.; SHARMA, M.; JHA, P.; NARAYANA RAO, J.; RAO, B. V.; GAUR, P. M. AND PANDE, S. 2007. Evaluation of chickpea genotypes for resistance to </w:t>
      </w:r>
      <w:proofErr w:type="spellStart"/>
      <w:r w:rsidRPr="00AB4655">
        <w:rPr>
          <w:rFonts w:ascii="Arial" w:hAnsi="Arial" w:cs="Arial"/>
          <w:i/>
          <w:sz w:val="24"/>
          <w:szCs w:val="24"/>
          <w:lang w:val="en-US"/>
        </w:rPr>
        <w:t>Fusarium</w:t>
      </w:r>
      <w:proofErr w:type="spellEnd"/>
      <w:r w:rsidRPr="00AB4655">
        <w:rPr>
          <w:rFonts w:ascii="Arial" w:hAnsi="Arial" w:cs="Arial"/>
          <w:sz w:val="24"/>
          <w:szCs w:val="24"/>
          <w:lang w:val="en-US"/>
        </w:rPr>
        <w:t xml:space="preserve"> wilt in Nepal. </w:t>
      </w:r>
      <w:proofErr w:type="spellStart"/>
      <w:r w:rsidRPr="00AB4655">
        <w:rPr>
          <w:rFonts w:ascii="Arial" w:hAnsi="Arial" w:cs="Arial"/>
          <w:i/>
          <w:sz w:val="24"/>
          <w:szCs w:val="24"/>
        </w:rPr>
        <w:t>Journal</w:t>
      </w:r>
      <w:proofErr w:type="spellEnd"/>
      <w:r w:rsidRPr="00AB4655">
        <w:rPr>
          <w:rFonts w:ascii="Arial" w:hAnsi="Arial" w:cs="Arial"/>
          <w:i/>
          <w:sz w:val="24"/>
          <w:szCs w:val="24"/>
        </w:rPr>
        <w:t xml:space="preserve"> of SAT </w:t>
      </w:r>
      <w:proofErr w:type="spellStart"/>
      <w:r w:rsidRPr="00AB4655">
        <w:rPr>
          <w:rFonts w:ascii="Arial" w:hAnsi="Arial" w:cs="Arial"/>
          <w:i/>
          <w:sz w:val="24"/>
          <w:szCs w:val="24"/>
        </w:rPr>
        <w:t>AgriculturalResearch</w:t>
      </w:r>
      <w:proofErr w:type="spellEnd"/>
      <w:r w:rsidRPr="00AB4655">
        <w:rPr>
          <w:rFonts w:ascii="Arial" w:hAnsi="Arial" w:cs="Arial"/>
          <w:sz w:val="24"/>
          <w:szCs w:val="24"/>
        </w:rPr>
        <w:t xml:space="preserve"> 5(1):1-2.</w:t>
      </w:r>
    </w:p>
    <w:p w:rsidR="00416EDD" w:rsidRPr="00AB4655" w:rsidRDefault="00416EDD" w:rsidP="008A3D05">
      <w:pPr>
        <w:pStyle w:val="Prrafodelista"/>
        <w:numPr>
          <w:ilvl w:val="0"/>
          <w:numId w:val="31"/>
        </w:numPr>
        <w:suppressAutoHyphens/>
        <w:spacing w:after="0" w:line="360" w:lineRule="auto"/>
        <w:jc w:val="both"/>
        <w:rPr>
          <w:rFonts w:ascii="Arial" w:hAnsi="Arial" w:cs="Arial"/>
          <w:sz w:val="24"/>
          <w:szCs w:val="24"/>
        </w:rPr>
      </w:pPr>
      <w:r w:rsidRPr="00AB4655">
        <w:rPr>
          <w:rFonts w:ascii="Arial" w:hAnsi="Arial" w:cs="Arial"/>
          <w:sz w:val="24"/>
          <w:szCs w:val="24"/>
        </w:rPr>
        <w:t xml:space="preserve">OLIVA-ORTIZ, L., VELÁZQUEZ-ALCARAZ, T., SOSA-PÉREZ, R., et al. 2017. Control de la </w:t>
      </w:r>
      <w:proofErr w:type="spellStart"/>
      <w:r w:rsidRPr="00AB4655">
        <w:rPr>
          <w:rFonts w:ascii="Arial" w:hAnsi="Arial" w:cs="Arial"/>
          <w:sz w:val="24"/>
          <w:szCs w:val="24"/>
        </w:rPr>
        <w:t>fusariosis</w:t>
      </w:r>
      <w:proofErr w:type="spellEnd"/>
      <w:r w:rsidRPr="00AB4655">
        <w:rPr>
          <w:rFonts w:ascii="Arial" w:hAnsi="Arial" w:cs="Arial"/>
          <w:sz w:val="24"/>
          <w:szCs w:val="24"/>
        </w:rPr>
        <w:t xml:space="preserve"> vascular del garbanzo (</w:t>
      </w:r>
      <w:proofErr w:type="spellStart"/>
      <w:r w:rsidRPr="00AB4655">
        <w:rPr>
          <w:rFonts w:ascii="Arial" w:hAnsi="Arial" w:cs="Arial"/>
          <w:i/>
          <w:sz w:val="24"/>
          <w:szCs w:val="24"/>
        </w:rPr>
        <w:t>Cicerarietinum</w:t>
      </w:r>
      <w:proofErr w:type="spellEnd"/>
      <w:r w:rsidRPr="00AB4655">
        <w:rPr>
          <w:rFonts w:ascii="Arial" w:hAnsi="Arial" w:cs="Arial"/>
          <w:sz w:val="24"/>
          <w:szCs w:val="24"/>
        </w:rPr>
        <w:t xml:space="preserve"> L.) por microorganismos nativos de Sinaloa, México. </w:t>
      </w:r>
      <w:proofErr w:type="spellStart"/>
      <w:r w:rsidRPr="00AB4655">
        <w:rPr>
          <w:rFonts w:ascii="Arial" w:hAnsi="Arial" w:cs="Arial"/>
          <w:sz w:val="24"/>
          <w:szCs w:val="24"/>
        </w:rPr>
        <w:t>Agrociencia</w:t>
      </w:r>
      <w:proofErr w:type="spellEnd"/>
      <w:r w:rsidRPr="00AB4655">
        <w:rPr>
          <w:rFonts w:ascii="Arial" w:hAnsi="Arial" w:cs="Arial"/>
          <w:sz w:val="24"/>
          <w:szCs w:val="24"/>
        </w:rPr>
        <w:t>, 51: 683-695.</w:t>
      </w:r>
    </w:p>
    <w:p w:rsidR="00614362" w:rsidRPr="00AB4655" w:rsidRDefault="00614362" w:rsidP="00614362">
      <w:pPr>
        <w:pStyle w:val="Prrafodelista"/>
        <w:numPr>
          <w:ilvl w:val="0"/>
          <w:numId w:val="31"/>
        </w:numPr>
        <w:suppressAutoHyphens/>
        <w:spacing w:after="0" w:line="360" w:lineRule="auto"/>
        <w:jc w:val="both"/>
        <w:rPr>
          <w:rFonts w:ascii="Arial" w:hAnsi="Arial" w:cs="Arial"/>
          <w:iCs/>
          <w:sz w:val="24"/>
          <w:szCs w:val="24"/>
        </w:rPr>
      </w:pPr>
      <w:r w:rsidRPr="00AB4655">
        <w:rPr>
          <w:rFonts w:ascii="Arial" w:hAnsi="Arial" w:cs="Arial"/>
          <w:bCs/>
          <w:sz w:val="24"/>
          <w:szCs w:val="24"/>
        </w:rPr>
        <w:t xml:space="preserve">PANDE S., NARAYANA RAO J., SHARMA M. 2007. </w:t>
      </w:r>
      <w:r w:rsidRPr="00AB4655">
        <w:rPr>
          <w:rFonts w:ascii="Arial" w:hAnsi="Arial" w:cs="Arial"/>
          <w:bCs/>
          <w:sz w:val="24"/>
          <w:szCs w:val="24"/>
          <w:lang w:val="en-US"/>
        </w:rPr>
        <w:t xml:space="preserve">Establishment of the Chickpea Wilt Pathogen </w:t>
      </w:r>
      <w:proofErr w:type="spellStart"/>
      <w:r w:rsidRPr="00AB4655">
        <w:rPr>
          <w:rFonts w:ascii="Arial" w:hAnsi="Arial" w:cs="Arial"/>
          <w:bCs/>
          <w:i/>
          <w:iCs/>
          <w:sz w:val="24"/>
          <w:szCs w:val="24"/>
          <w:lang w:val="en-US"/>
        </w:rPr>
        <w:t>Fusariumoxysporum</w:t>
      </w:r>
      <w:r w:rsidRPr="00AB4655">
        <w:rPr>
          <w:rFonts w:ascii="Arial" w:hAnsi="Arial" w:cs="Arial"/>
          <w:bCs/>
          <w:sz w:val="24"/>
          <w:szCs w:val="24"/>
          <w:lang w:val="en-US"/>
        </w:rPr>
        <w:t>f</w:t>
      </w:r>
      <w:proofErr w:type="spellEnd"/>
      <w:r w:rsidRPr="00AB4655">
        <w:rPr>
          <w:rFonts w:ascii="Arial" w:hAnsi="Arial" w:cs="Arial"/>
          <w:bCs/>
          <w:sz w:val="24"/>
          <w:szCs w:val="24"/>
          <w:lang w:val="en-US"/>
        </w:rPr>
        <w:t xml:space="preserve">. sp. </w:t>
      </w:r>
      <w:proofErr w:type="spellStart"/>
      <w:r w:rsidRPr="00AB4655">
        <w:rPr>
          <w:rFonts w:ascii="Arial" w:hAnsi="Arial" w:cs="Arial"/>
          <w:bCs/>
          <w:i/>
          <w:iCs/>
          <w:sz w:val="24"/>
          <w:szCs w:val="24"/>
          <w:lang w:val="en-US"/>
        </w:rPr>
        <w:t>ciceris</w:t>
      </w:r>
      <w:r w:rsidRPr="00AB4655">
        <w:rPr>
          <w:rFonts w:ascii="Arial" w:hAnsi="Arial" w:cs="Arial"/>
          <w:bCs/>
          <w:sz w:val="24"/>
          <w:szCs w:val="24"/>
          <w:lang w:val="en-US"/>
        </w:rPr>
        <w:t>in</w:t>
      </w:r>
      <w:proofErr w:type="spellEnd"/>
      <w:r w:rsidRPr="00AB4655">
        <w:rPr>
          <w:rFonts w:ascii="Arial" w:hAnsi="Arial" w:cs="Arial"/>
          <w:bCs/>
          <w:sz w:val="24"/>
          <w:szCs w:val="24"/>
          <w:lang w:val="en-US"/>
        </w:rPr>
        <w:t xml:space="preserve"> the Soil through Seed Transmission. </w:t>
      </w:r>
      <w:proofErr w:type="spellStart"/>
      <w:r w:rsidRPr="00AB4655">
        <w:rPr>
          <w:rFonts w:ascii="Arial" w:hAnsi="Arial" w:cs="Arial"/>
          <w:i/>
          <w:iCs/>
          <w:sz w:val="24"/>
          <w:szCs w:val="24"/>
        </w:rPr>
        <w:t>PlantPathology</w:t>
      </w:r>
      <w:proofErr w:type="spellEnd"/>
      <w:r w:rsidRPr="00AB4655">
        <w:rPr>
          <w:rFonts w:ascii="Arial" w:hAnsi="Arial" w:cs="Arial"/>
          <w:i/>
          <w:iCs/>
          <w:sz w:val="24"/>
          <w:szCs w:val="24"/>
        </w:rPr>
        <w:t xml:space="preserve"> J. </w:t>
      </w:r>
      <w:r w:rsidRPr="00AB4655">
        <w:rPr>
          <w:rFonts w:ascii="Arial" w:hAnsi="Arial" w:cs="Arial"/>
          <w:iCs/>
          <w:sz w:val="24"/>
          <w:szCs w:val="24"/>
        </w:rPr>
        <w:t>23(1): 3-6.</w:t>
      </w:r>
    </w:p>
    <w:p w:rsidR="00614362" w:rsidRPr="00614362" w:rsidRDefault="00614362" w:rsidP="00614362"/>
    <w:p w:rsidR="00DA69EE" w:rsidRPr="00EA187B" w:rsidRDefault="00DA69EE" w:rsidP="00DA69EE">
      <w:pPr>
        <w:spacing w:after="0"/>
        <w:rPr>
          <w:rFonts w:cs="Arial"/>
          <w:lang w:val="en-US"/>
        </w:rPr>
      </w:pPr>
    </w:p>
    <w:p w:rsidR="00DA69EE" w:rsidRPr="00EA187B" w:rsidRDefault="00DA69EE" w:rsidP="00DA69EE">
      <w:pPr>
        <w:rPr>
          <w:rFonts w:cs="Arial"/>
        </w:rPr>
      </w:pPr>
    </w:p>
    <w:sectPr w:rsidR="00DA69EE" w:rsidRPr="00EA187B" w:rsidSect="004A3A4B">
      <w:headerReference w:type="default" r:id="rId15"/>
      <w:footerReference w:type="default" r:id="rId16"/>
      <w:pgSz w:w="12240" w:h="15840" w:code="1"/>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AD7" w:rsidRDefault="00121AD7" w:rsidP="00276F63">
      <w:pPr>
        <w:spacing w:before="0" w:after="0" w:line="240" w:lineRule="auto"/>
      </w:pPr>
      <w:r>
        <w:separator/>
      </w:r>
    </w:p>
  </w:endnote>
  <w:endnote w:type="continuationSeparator" w:id="1">
    <w:p w:rsidR="00121AD7" w:rsidRDefault="00121AD7" w:rsidP="00276F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AD7" w:rsidRDefault="00121AD7" w:rsidP="00276F63">
      <w:pPr>
        <w:spacing w:before="0" w:after="0" w:line="240" w:lineRule="auto"/>
      </w:pPr>
      <w:r>
        <w:separator/>
      </w:r>
    </w:p>
  </w:footnote>
  <w:footnote w:type="continuationSeparator" w:id="1">
    <w:p w:rsidR="00121AD7" w:rsidRDefault="00121AD7" w:rsidP="00276F63">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1A079AA"/>
    <w:multiLevelType w:val="hybridMultilevel"/>
    <w:tmpl w:val="DA2433BE"/>
    <w:lvl w:ilvl="0" w:tplc="9730A22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D76271C"/>
    <w:multiLevelType w:val="hybridMultilevel"/>
    <w:tmpl w:val="555AE900"/>
    <w:lvl w:ilvl="0" w:tplc="2AD20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8495A08"/>
    <w:multiLevelType w:val="hybridMultilevel"/>
    <w:tmpl w:val="955084F6"/>
    <w:lvl w:ilvl="0" w:tplc="E57430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8E4BE6"/>
    <w:multiLevelType w:val="hybridMultilevel"/>
    <w:tmpl w:val="DD7EB42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0E35E53"/>
    <w:multiLevelType w:val="hybridMultilevel"/>
    <w:tmpl w:val="E03C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8B857C5"/>
    <w:multiLevelType w:val="hybridMultilevel"/>
    <w:tmpl w:val="E97E3C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66B9123D"/>
    <w:multiLevelType w:val="hybridMultilevel"/>
    <w:tmpl w:val="E37E0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4E951F1"/>
    <w:multiLevelType w:val="hybridMultilevel"/>
    <w:tmpl w:val="FCE6C9C0"/>
    <w:lvl w:ilvl="0" w:tplc="9730A2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934FD"/>
    <w:multiLevelType w:val="hybridMultilevel"/>
    <w:tmpl w:val="3568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2"/>
  </w:num>
  <w:num w:numId="2">
    <w:abstractNumId w:val="16"/>
  </w:num>
  <w:num w:numId="3">
    <w:abstractNumId w:val="20"/>
  </w:num>
  <w:num w:numId="4">
    <w:abstractNumId w:val="5"/>
  </w:num>
  <w:num w:numId="5">
    <w:abstractNumId w:val="12"/>
  </w:num>
  <w:num w:numId="6">
    <w:abstractNumId w:val="11"/>
  </w:num>
  <w:num w:numId="7">
    <w:abstractNumId w:val="6"/>
  </w:num>
  <w:num w:numId="8">
    <w:abstractNumId w:val="14"/>
  </w:num>
  <w:num w:numId="9">
    <w:abstractNumId w:val="21"/>
  </w:num>
  <w:num w:numId="10">
    <w:abstractNumId w:val="18"/>
  </w:num>
  <w:num w:numId="11">
    <w:abstractNumId w:val="7"/>
  </w:num>
  <w:num w:numId="12">
    <w:abstractNumId w:val="15"/>
  </w:num>
  <w:num w:numId="13">
    <w:abstractNumId w:val="2"/>
  </w:num>
  <w:num w:numId="14">
    <w:abstractNumId w:val="9"/>
  </w:num>
  <w:num w:numId="15">
    <w:abstractNumId w:val="0"/>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4"/>
  </w:num>
  <w:num w:numId="20">
    <w:abstractNumId w:val="28"/>
  </w:num>
  <w:num w:numId="21">
    <w:abstractNumId w:val="25"/>
  </w:num>
  <w:num w:numId="22">
    <w:abstractNumId w:val="0"/>
  </w:num>
  <w:num w:numId="23">
    <w:abstractNumId w:val="19"/>
  </w:num>
  <w:num w:numId="24">
    <w:abstractNumId w:val="13"/>
  </w:num>
  <w:num w:numId="25">
    <w:abstractNumId w:val="17"/>
  </w:num>
  <w:num w:numId="26">
    <w:abstractNumId w:val="27"/>
  </w:num>
  <w:num w:numId="27">
    <w:abstractNumId w:val="4"/>
  </w:num>
  <w:num w:numId="28">
    <w:abstractNumId w:val="8"/>
  </w:num>
  <w:num w:numId="29">
    <w:abstractNumId w:val="1"/>
  </w:num>
  <w:num w:numId="30">
    <w:abstractNumId w:val="2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stylePaneSortMethod w:val="0000"/>
  <w:defaultTabStop w:val="708"/>
  <w:hyphenationZone w:val="425"/>
  <w:noPunctuationKerning/>
  <w:characterSpacingControl w:val="doNotCompress"/>
  <w:hdrShapeDefaults>
    <o:shapedefaults v:ext="edit" spidmax="4097"/>
  </w:hdrShapeDefaults>
  <w:footnotePr>
    <w:footnote w:id="0"/>
    <w:footnote w:id="1"/>
  </w:footnotePr>
  <w:endnotePr>
    <w:endnote w:id="0"/>
    <w:endnote w:id="1"/>
  </w:endnotePr>
  <w:compat/>
  <w:rsids>
    <w:rsidRoot w:val="0098023C"/>
    <w:rsid w:val="0000551B"/>
    <w:rsid w:val="00014951"/>
    <w:rsid w:val="000263DF"/>
    <w:rsid w:val="00047713"/>
    <w:rsid w:val="0008370C"/>
    <w:rsid w:val="000C0FA7"/>
    <w:rsid w:val="000F2BCE"/>
    <w:rsid w:val="0010507F"/>
    <w:rsid w:val="00120483"/>
    <w:rsid w:val="00121AD7"/>
    <w:rsid w:val="0016413E"/>
    <w:rsid w:val="0018353C"/>
    <w:rsid w:val="0019535D"/>
    <w:rsid w:val="00276F63"/>
    <w:rsid w:val="00294A34"/>
    <w:rsid w:val="002D104A"/>
    <w:rsid w:val="002F08B9"/>
    <w:rsid w:val="00313CAE"/>
    <w:rsid w:val="00320B28"/>
    <w:rsid w:val="00336E6C"/>
    <w:rsid w:val="003B1505"/>
    <w:rsid w:val="003B3C35"/>
    <w:rsid w:val="00416EDD"/>
    <w:rsid w:val="00475B54"/>
    <w:rsid w:val="004A3A4B"/>
    <w:rsid w:val="004B34A5"/>
    <w:rsid w:val="005265ED"/>
    <w:rsid w:val="00540606"/>
    <w:rsid w:val="00590C44"/>
    <w:rsid w:val="0059551D"/>
    <w:rsid w:val="005B747F"/>
    <w:rsid w:val="00614362"/>
    <w:rsid w:val="006454E9"/>
    <w:rsid w:val="0066641A"/>
    <w:rsid w:val="00667D7D"/>
    <w:rsid w:val="006952E9"/>
    <w:rsid w:val="006C4816"/>
    <w:rsid w:val="006F2B40"/>
    <w:rsid w:val="006F4691"/>
    <w:rsid w:val="00700DF8"/>
    <w:rsid w:val="00701588"/>
    <w:rsid w:val="00715A1F"/>
    <w:rsid w:val="00747ACA"/>
    <w:rsid w:val="008018BC"/>
    <w:rsid w:val="008040F6"/>
    <w:rsid w:val="00893195"/>
    <w:rsid w:val="008A3D05"/>
    <w:rsid w:val="008D39C6"/>
    <w:rsid w:val="008E0084"/>
    <w:rsid w:val="008E61CB"/>
    <w:rsid w:val="009016FB"/>
    <w:rsid w:val="00904364"/>
    <w:rsid w:val="00927599"/>
    <w:rsid w:val="009567D5"/>
    <w:rsid w:val="0098023C"/>
    <w:rsid w:val="009A08B1"/>
    <w:rsid w:val="009B670E"/>
    <w:rsid w:val="009F4A10"/>
    <w:rsid w:val="00A26BEF"/>
    <w:rsid w:val="00A435F1"/>
    <w:rsid w:val="00AB4655"/>
    <w:rsid w:val="00AC618B"/>
    <w:rsid w:val="00AD2115"/>
    <w:rsid w:val="00B212CA"/>
    <w:rsid w:val="00B54B95"/>
    <w:rsid w:val="00B6556F"/>
    <w:rsid w:val="00B74E79"/>
    <w:rsid w:val="00B81488"/>
    <w:rsid w:val="00B818E8"/>
    <w:rsid w:val="00BA4806"/>
    <w:rsid w:val="00BF4E45"/>
    <w:rsid w:val="00C1606B"/>
    <w:rsid w:val="00C313A0"/>
    <w:rsid w:val="00C37B08"/>
    <w:rsid w:val="00C705E4"/>
    <w:rsid w:val="00CB1953"/>
    <w:rsid w:val="00CC6F47"/>
    <w:rsid w:val="00D62765"/>
    <w:rsid w:val="00D83261"/>
    <w:rsid w:val="00DA626A"/>
    <w:rsid w:val="00DA69EE"/>
    <w:rsid w:val="00DC3274"/>
    <w:rsid w:val="00E54C40"/>
    <w:rsid w:val="00EA187B"/>
    <w:rsid w:val="00ED1EAE"/>
    <w:rsid w:val="00ED1F06"/>
    <w:rsid w:val="00F34A7F"/>
    <w:rsid w:val="00F34E55"/>
    <w:rsid w:val="00F446E0"/>
    <w:rsid w:val="00F5269F"/>
    <w:rsid w:val="00FF086D"/>
    <w:rsid w:val="00FF318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table" w:styleId="Tablaconcuadrcula">
    <w:name w:val="Table Grid"/>
    <w:basedOn w:val="Tablanormal"/>
    <w:rsid w:val="00313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13CAE"/>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13CAE"/>
    <w:rPr>
      <w:rFonts w:ascii="Tahoma" w:hAnsi="Tahoma" w:cs="Tahoma"/>
      <w:sz w:val="16"/>
      <w:szCs w:val="16"/>
      <w:lang w:val="es-ES" w:eastAsia="es-ES"/>
    </w:rPr>
  </w:style>
  <w:style w:type="character" w:styleId="Hipervnculo">
    <w:name w:val="Hyperlink"/>
    <w:basedOn w:val="Fuentedeprrafopredeter"/>
    <w:uiPriority w:val="99"/>
    <w:unhideWhenUsed/>
    <w:rsid w:val="00B212CA"/>
    <w:rPr>
      <w:color w:val="0563C1" w:themeColor="hyperlink"/>
      <w:u w:val="single"/>
    </w:rPr>
  </w:style>
  <w:style w:type="paragraph" w:styleId="Prrafodelista">
    <w:name w:val="List Paragraph"/>
    <w:basedOn w:val="Normal"/>
    <w:uiPriority w:val="34"/>
    <w:qFormat/>
    <w:rsid w:val="00DA69EE"/>
    <w:pPr>
      <w:spacing w:before="0" w:after="200" w:line="276" w:lineRule="auto"/>
      <w:ind w:left="720"/>
      <w:contextualSpacing/>
      <w:jc w:val="left"/>
    </w:pPr>
    <w:rPr>
      <w:rFonts w:asciiTheme="minorHAnsi" w:eastAsiaTheme="minorHAnsi" w:hAnsiTheme="minorHAnsi" w:cstheme="minorBidi"/>
      <w:sz w:val="22"/>
      <w:szCs w:val="22"/>
      <w:lang w:eastAsia="en-US"/>
    </w:rPr>
  </w:style>
  <w:style w:type="table" w:styleId="Sombreadoclaro">
    <w:name w:val="Light Shading"/>
    <w:basedOn w:val="Tablanormal"/>
    <w:uiPriority w:val="60"/>
    <w:rsid w:val="00DA69EE"/>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arkedcontent">
    <w:name w:val="markedcontent"/>
    <w:basedOn w:val="Fuentedeprrafopredeter"/>
    <w:rsid w:val="00DA69EE"/>
  </w:style>
  <w:style w:type="character" w:styleId="nfasis">
    <w:name w:val="Emphasis"/>
    <w:basedOn w:val="Fuentedeprrafopredeter"/>
    <w:qFormat/>
    <w:rsid w:val="00EA187B"/>
    <w:rPr>
      <w:i/>
      <w:iCs/>
    </w:rPr>
  </w:style>
  <w:style w:type="table" w:customStyle="1" w:styleId="Tablanormal21">
    <w:name w:val="Tabla normal 21"/>
    <w:basedOn w:val="Tablanormal"/>
    <w:uiPriority w:val="42"/>
    <w:rsid w:val="00C37B08"/>
    <w:rPr>
      <w:rFonts w:ascii="Calibri" w:eastAsia="Droid Sans Fallback" w:hAnsi="Calibri" w:cs="Calibr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14362"/>
    <w:pPr>
      <w:suppressAutoHyphens/>
    </w:pPr>
    <w:rPr>
      <w:rFonts w:eastAsia="Droid Sans Fallback"/>
      <w:color w:val="000000"/>
      <w:sz w:val="24"/>
      <w:szCs w:val="24"/>
    </w:rPr>
  </w:style>
</w:styles>
</file>

<file path=word/webSettings.xml><?xml version="1.0" encoding="utf-8"?>
<w:webSettings xmlns:r="http://schemas.openxmlformats.org/officeDocument/2006/relationships" xmlns:w="http://schemas.openxmlformats.org/wordprocessingml/2006/main">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322-5136" TargetMode="External"/><Relationship Id="rId13" Type="http://schemas.openxmlformats.org/officeDocument/2006/relationships/hyperlink" Target="mailto:victorgil@uclv.edu.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ia@uclv.edu.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dcayhi@uclv.edu.c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3-2489-8719" TargetMode="External"/><Relationship Id="rId4" Type="http://schemas.openxmlformats.org/officeDocument/2006/relationships/settings" Target="settings.xml"/><Relationship Id="rId9" Type="http://schemas.openxmlformats.org/officeDocument/2006/relationships/hyperlink" Target="https://orcid.org/0000-0001-8598-216X?lang=en"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roundedCorners val="1"/>
  <c:chart>
    <c:autoTitleDeleted val="1"/>
    <c:plotArea>
      <c:layout/>
      <c:lineChart>
        <c:grouping val="standard"/>
        <c:varyColors val="1"/>
        <c:ser>
          <c:idx val="0"/>
          <c:order val="0"/>
          <c:tx>
            <c:strRef>
              <c:f>label 0</c:f>
              <c:strCache>
                <c:ptCount val="1"/>
                <c:pt idx="0">
                  <c:v>Nacional 5HA </c:v>
                </c:pt>
              </c:strCache>
            </c:strRef>
          </c:tx>
          <c:spPr>
            <a:ln w="28440">
              <a:solidFill>
                <a:srgbClr val="4A7EBB"/>
              </a:solidFill>
              <a:round/>
            </a:ln>
          </c:spPr>
          <c:marker>
            <c:symbol val="none"/>
          </c:marker>
          <c:dLbls>
            <c:dLbl>
              <c:idx val="0"/>
              <c:layout/>
              <c:dLblPos val="r"/>
              <c:showVal val="1"/>
              <c:showBubbleSize val="1"/>
              <c:separator>; </c:separator>
              <c:extLst xmlns:c16r2="http://schemas.microsoft.com/office/drawing/2015/06/chart">
                <c:ext xmlns:c16="http://schemas.microsoft.com/office/drawing/2014/chart" uri="{C3380CC4-5D6E-409C-BE32-E72D297353CC}">
                  <c16:uniqueId val="{00000000-B72F-46CA-A8D6-4C09B901ED45}"/>
                </c:ext>
                <c:ext xmlns:c15="http://schemas.microsoft.com/office/drawing/2012/chart" uri="{CE6537A1-D6FC-4f65-9D91-7224C49458BB}"/>
              </c:extLst>
            </c:dLbl>
            <c:dLbl>
              <c:idx val="1"/>
              <c:layout/>
              <c:dLblPos val="t"/>
              <c:showVal val="1"/>
              <c:showBubbleSize val="1"/>
              <c:separator>; </c:separator>
              <c:extLst xmlns:c16r2="http://schemas.microsoft.com/office/drawing/2015/06/chart">
                <c:ext xmlns:c16="http://schemas.microsoft.com/office/drawing/2014/chart" uri="{C3380CC4-5D6E-409C-BE32-E72D297353CC}">
                  <c16:uniqueId val="{00000001-B72F-46CA-A8D6-4C09B901ED45}"/>
                </c:ext>
                <c:ext xmlns:c15="http://schemas.microsoft.com/office/drawing/2012/chart" uri="{CE6537A1-D6FC-4f65-9D91-7224C49458BB}"/>
              </c:extLst>
            </c:dLbl>
            <c:dLbl>
              <c:idx val="2"/>
              <c:layout/>
              <c:dLblPos val="r"/>
              <c:showVal val="1"/>
              <c:showBubbleSize val="1"/>
              <c:separator>; </c:separator>
              <c:extLst xmlns:c16r2="http://schemas.microsoft.com/office/drawing/2015/06/chart">
                <c:ext xmlns:c16="http://schemas.microsoft.com/office/drawing/2014/chart" uri="{C3380CC4-5D6E-409C-BE32-E72D297353CC}">
                  <c16:uniqueId val="{00000002-B72F-46CA-A8D6-4C09B901ED45}"/>
                </c:ext>
                <c:ext xmlns:c15="http://schemas.microsoft.com/office/drawing/2012/chart" uri="{CE6537A1-D6FC-4f65-9D91-7224C49458BB}"/>
              </c:extLst>
            </c:dLbl>
            <c:dLbl>
              <c:idx val="3"/>
              <c:layout/>
              <c:dLblPos val="t"/>
              <c:showVal val="1"/>
              <c:showBubbleSize val="1"/>
              <c:separator>; </c:separator>
              <c:extLst xmlns:c16r2="http://schemas.microsoft.com/office/drawing/2015/06/chart">
                <c:ext xmlns:c16="http://schemas.microsoft.com/office/drawing/2014/chart" uri="{C3380CC4-5D6E-409C-BE32-E72D297353CC}">
                  <c16:uniqueId val="{00000003-B72F-46CA-A8D6-4C09B901ED45}"/>
                </c:ext>
                <c:ext xmlns:c15="http://schemas.microsoft.com/office/drawing/2012/chart" uri="{CE6537A1-D6FC-4f65-9D91-7224C49458BB}"/>
              </c:extLst>
            </c:dLbl>
            <c:dLbl>
              <c:idx val="4"/>
              <c:layout>
                <c:manualLayout>
                  <c:x val="-1.9217758542287206E-2"/>
                  <c:y val="-5.5767903745218832E-2"/>
                </c:manualLayout>
              </c:layout>
              <c:dLblPos val="r"/>
              <c:showVal val="1"/>
              <c:showBubbleSize val="1"/>
              <c:separator>; </c:separator>
              <c:extLst xmlns:c16r2="http://schemas.microsoft.com/office/drawing/2015/06/chart">
                <c:ext xmlns:c16="http://schemas.microsoft.com/office/drawing/2014/chart" uri="{C3380CC4-5D6E-409C-BE32-E72D297353CC}">
                  <c16:uniqueId val="{00000004-B72F-46CA-A8D6-4C09B901ED45}"/>
                </c:ext>
                <c:ext xmlns:c15="http://schemas.microsoft.com/office/drawing/2012/chart" uri="{CE6537A1-D6FC-4f65-9D91-7224C49458BB}"/>
              </c:extLst>
            </c:dLbl>
            <c:spPr>
              <a:noFill/>
              <a:ln>
                <a:noFill/>
              </a:ln>
              <a:effectLst/>
            </c:spPr>
            <c:txPr>
              <a:bodyPr/>
              <a:lstStyle/>
              <a:p>
                <a:pPr>
                  <a:defRPr sz="1200"/>
                </a:pPr>
                <a:endParaRPr lang="es-ES"/>
              </a:p>
            </c:txPr>
            <c:showVal val="1"/>
            <c:showBubbleSize val="1"/>
            <c:extLst xmlns:c16r2="http://schemas.microsoft.com/office/drawing/2015/06/chart">
              <c:ext xmlns:c15="http://schemas.microsoft.com/office/drawing/2012/chart" uri="{CE6537A1-D6FC-4f65-9D91-7224C49458BB}">
                <c15:showLeaderLines val="0"/>
              </c:ext>
            </c:extLst>
          </c:dLbls>
          <c:cat>
            <c:strRef>
              <c:f>categories</c:f>
              <c:strCache>
                <c:ptCount val="5"/>
                <c:pt idx="0">
                  <c:v>CV </c:v>
                </c:pt>
                <c:pt idx="1">
                  <c:v>Flor </c:v>
                </c:pt>
                <c:pt idx="2">
                  <c:v>Fleg</c:v>
                </c:pt>
                <c:pt idx="3">
                  <c:v>Llleg</c:v>
                </c:pt>
                <c:pt idx="4">
                  <c:v>MF </c:v>
                </c:pt>
              </c:strCache>
            </c:strRef>
          </c:cat>
          <c:val>
            <c:numRef>
              <c:f>0</c:f>
              <c:numCache>
                <c:formatCode>General</c:formatCode>
                <c:ptCount val="5"/>
                <c:pt idx="0">
                  <c:v>4.83</c:v>
                </c:pt>
                <c:pt idx="1">
                  <c:v>12.1</c:v>
                </c:pt>
                <c:pt idx="2">
                  <c:v>5.7700000000000005</c:v>
                </c:pt>
                <c:pt idx="3">
                  <c:v>18.39</c:v>
                </c:pt>
                <c:pt idx="4">
                  <c:v>6.35</c:v>
                </c:pt>
              </c:numCache>
            </c:numRef>
          </c:val>
          <c:smooth val="1"/>
          <c:extLst xmlns:c16r2="http://schemas.microsoft.com/office/drawing/2015/06/chart">
            <c:ext xmlns:c16="http://schemas.microsoft.com/office/drawing/2014/chart" uri="{C3380CC4-5D6E-409C-BE32-E72D297353CC}">
              <c16:uniqueId val="{00000005-B72F-46CA-A8D6-4C09B901ED45}"/>
            </c:ext>
          </c:extLst>
        </c:ser>
        <c:dLbls/>
        <c:marker val="1"/>
        <c:axId val="70808704"/>
        <c:axId val="70810624"/>
      </c:lineChart>
      <c:catAx>
        <c:axId val="70808704"/>
        <c:scaling>
          <c:orientation val="minMax"/>
        </c:scaling>
        <c:axPos val="b"/>
        <c:title>
          <c:tx>
            <c:rich>
              <a:bodyPr/>
              <a:lstStyle/>
              <a:p>
                <a:pPr>
                  <a:defRPr sz="1100" b="0"/>
                </a:pPr>
                <a:r>
                  <a:rPr lang="en-US" sz="1100" b="0">
                    <a:solidFill>
                      <a:srgbClr val="000000"/>
                    </a:solidFill>
                    <a:latin typeface="Arial"/>
                  </a:rPr>
                  <a:t>Etapa</a:t>
                </a:r>
              </a:p>
            </c:rich>
          </c:tx>
          <c:layout>
            <c:manualLayout>
              <c:xMode val="edge"/>
              <c:yMode val="edge"/>
              <c:x val="0.5391586964942745"/>
              <c:y val="0.90971631419635757"/>
            </c:manualLayout>
          </c:layout>
        </c:title>
        <c:numFmt formatCode="General" sourceLinked="0"/>
        <c:tickLblPos val="nextTo"/>
        <c:spPr>
          <a:ln w="9360">
            <a:solidFill>
              <a:srgbClr val="878787"/>
            </a:solidFill>
            <a:round/>
          </a:ln>
        </c:spPr>
        <c:txPr>
          <a:bodyPr/>
          <a:lstStyle/>
          <a:p>
            <a:pPr>
              <a:defRPr sz="1200"/>
            </a:pPr>
            <a:endParaRPr lang="es-ES"/>
          </a:p>
        </c:txPr>
        <c:crossAx val="70810624"/>
        <c:crossesAt val="0"/>
        <c:auto val="1"/>
        <c:lblAlgn val="ctr"/>
        <c:lblOffset val="100"/>
        <c:noMultiLvlLbl val="1"/>
      </c:catAx>
      <c:valAx>
        <c:axId val="70810624"/>
        <c:scaling>
          <c:orientation val="minMax"/>
        </c:scaling>
        <c:axPos val="l"/>
        <c:title>
          <c:tx>
            <c:rich>
              <a:bodyPr rot="0" vert="horz"/>
              <a:lstStyle/>
              <a:p>
                <a:pPr>
                  <a:defRPr b="0"/>
                </a:pPr>
                <a:r>
                  <a:rPr lang="en-US" sz="1200" b="0">
                    <a:solidFill>
                      <a:srgbClr val="000000"/>
                    </a:solidFill>
                    <a:latin typeface="Arial"/>
                  </a:rPr>
                  <a:t>%</a:t>
                </a:r>
              </a:p>
            </c:rich>
          </c:tx>
          <c:layout>
            <c:manualLayout>
              <c:xMode val="edge"/>
              <c:yMode val="edge"/>
              <c:x val="0"/>
              <c:y val="0.3412690271953554"/>
            </c:manualLayout>
          </c:layout>
        </c:title>
        <c:numFmt formatCode="General" sourceLinked="1"/>
        <c:tickLblPos val="nextTo"/>
        <c:spPr>
          <a:ln w="9360">
            <a:solidFill>
              <a:srgbClr val="878787"/>
            </a:solidFill>
            <a:round/>
          </a:ln>
        </c:spPr>
        <c:txPr>
          <a:bodyPr/>
          <a:lstStyle/>
          <a:p>
            <a:pPr>
              <a:defRPr sz="1200"/>
            </a:pPr>
            <a:endParaRPr lang="es-ES"/>
          </a:p>
        </c:txPr>
        <c:crossAx val="70808704"/>
        <c:crossesAt val="0"/>
        <c:crossBetween val="between"/>
        <c:majorUnit val="5"/>
      </c:valAx>
      <c:spPr>
        <a:solidFill>
          <a:srgbClr val="FFFFFF"/>
        </a:solidFill>
        <a:ln>
          <a:noFill/>
        </a:ln>
      </c:spPr>
    </c:plotArea>
    <c:plotVisOnly val="1"/>
    <c:dispBlanksAs val="zero"/>
    <c:showDLblsOverMax val="1"/>
  </c:chart>
  <c:spPr>
    <a:noFill/>
    <a:ln>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9225EB4F-BB9B-42CB-AF22-990AF15A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ponencia.dotx</Template>
  <TotalTime>0</TotalTime>
  <Pages>7</Pages>
  <Words>1523</Words>
  <Characters>9680</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Template</vt:lpstr>
      <vt:lpstr>PAPER Template</vt:lpstr>
    </vt:vector>
  </TitlesOfParts>
  <LinksUpToDate>false</LinksUpToDate>
  <CharactersWithSpaces>11181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2021-10-04T16:20:00Z</dcterms:created>
  <dcterms:modified xsi:type="dcterms:W3CDTF">2021-10-08T16:01:00Z</dcterms:modified>
</cp:coreProperties>
</file>