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1AD" w:rsidRDefault="008D61AD" w:rsidP="008D61AD">
      <w:pPr>
        <w:keepNext/>
        <w:keepLines/>
        <w:jc w:val="center"/>
        <w:outlineLvl w:val="1"/>
        <w:rPr>
          <w:rFonts w:eastAsia="Calibri" w:cs="Arial"/>
          <w:b/>
          <w:sz w:val="28"/>
          <w:szCs w:val="28"/>
        </w:rPr>
      </w:pPr>
      <w:r w:rsidRPr="005035FB">
        <w:rPr>
          <w:rFonts w:eastAsia="Calibri" w:cs="Arial"/>
          <w:b/>
          <w:sz w:val="28"/>
          <w:szCs w:val="28"/>
        </w:rPr>
        <w:t xml:space="preserve">CRECIMIENTO DE CEPAS DE </w:t>
      </w:r>
      <w:r w:rsidRPr="005035FB">
        <w:rPr>
          <w:rFonts w:eastAsia="Calibri" w:cs="Arial"/>
          <w:b/>
          <w:i/>
          <w:sz w:val="28"/>
          <w:szCs w:val="28"/>
        </w:rPr>
        <w:t xml:space="preserve">LACTOBACILLUS </w:t>
      </w:r>
      <w:r w:rsidRPr="005035FB">
        <w:rPr>
          <w:rFonts w:eastAsia="Calibri" w:cs="Arial"/>
          <w:b/>
          <w:sz w:val="28"/>
          <w:szCs w:val="28"/>
        </w:rPr>
        <w:t>SP AISLADAS DE INTESTINO DE ABEJAS EN MEDIOS ALTERNATIVOS.</w:t>
      </w:r>
    </w:p>
    <w:p w:rsidR="00B85700" w:rsidRPr="00B85700" w:rsidRDefault="00B85700" w:rsidP="00B85700">
      <w:pPr>
        <w:pStyle w:val="HTMLconformatoprevio"/>
        <w:jc w:val="center"/>
        <w:rPr>
          <w:rFonts w:ascii="Arial" w:hAnsi="Arial" w:cs="Arial"/>
          <w:sz w:val="24"/>
          <w:szCs w:val="24"/>
          <w:lang w:val="en-US"/>
        </w:rPr>
      </w:pPr>
      <w:r w:rsidRPr="00B85700">
        <w:rPr>
          <w:rStyle w:val="y2iqfc"/>
          <w:rFonts w:ascii="Arial" w:hAnsi="Arial" w:cs="Arial"/>
          <w:sz w:val="24"/>
          <w:szCs w:val="24"/>
          <w:lang w:val="en-US"/>
        </w:rPr>
        <w:t>GROWTH OF LACTOBACILLUS SP STRAINS ISOLATED FROM THE INTESTINE OF BEES IN ALTERNATIVE MEDIUM.</w:t>
      </w:r>
    </w:p>
    <w:p w:rsidR="00B85700" w:rsidRPr="00B85700" w:rsidRDefault="00B85700" w:rsidP="008D61AD">
      <w:pPr>
        <w:keepNext/>
        <w:keepLines/>
        <w:jc w:val="center"/>
        <w:outlineLvl w:val="1"/>
        <w:rPr>
          <w:rFonts w:eastAsia="Calibri" w:cs="Arial"/>
          <w:b/>
          <w:sz w:val="28"/>
          <w:szCs w:val="28"/>
          <w:lang w:val="en-US"/>
        </w:rPr>
      </w:pPr>
    </w:p>
    <w:p w:rsidR="007D1ECA" w:rsidRDefault="008D61AD" w:rsidP="007D1ECA">
      <w:pPr>
        <w:keepNext/>
        <w:keepLines/>
        <w:jc w:val="center"/>
        <w:outlineLvl w:val="1"/>
        <w:rPr>
          <w:rFonts w:cs="Arial"/>
          <w:kern w:val="24"/>
          <w:vertAlign w:val="superscript"/>
          <w:lang w:val="es-ES_tradnl"/>
        </w:rPr>
      </w:pPr>
      <w:r w:rsidRPr="004E7F31">
        <w:rPr>
          <w:rFonts w:cs="Arial"/>
          <w:kern w:val="24"/>
          <w:lang w:val="es-ES_tradnl"/>
        </w:rPr>
        <w:t>Juan Emilio Hernández-García</w:t>
      </w:r>
      <w:r w:rsidRPr="003F62C0">
        <w:rPr>
          <w:rFonts w:cs="Arial"/>
          <w:kern w:val="24"/>
          <w:vertAlign w:val="superscript"/>
          <w:lang w:val="es-ES_tradnl"/>
        </w:rPr>
        <w:t>1</w:t>
      </w:r>
    </w:p>
    <w:p w:rsidR="007D1ECA" w:rsidRDefault="008D61AD" w:rsidP="007D1ECA">
      <w:pPr>
        <w:keepNext/>
        <w:keepLines/>
        <w:jc w:val="center"/>
        <w:outlineLvl w:val="1"/>
        <w:rPr>
          <w:rFonts w:cs="Arial"/>
          <w:vertAlign w:val="superscript"/>
        </w:rPr>
      </w:pPr>
      <w:r w:rsidRPr="004E7F31">
        <w:rPr>
          <w:rFonts w:cs="Arial"/>
        </w:rPr>
        <w:t>José Antonio Rodríguez Díaz</w:t>
      </w:r>
      <w:r w:rsidRPr="003F62C0">
        <w:rPr>
          <w:rFonts w:cs="Arial"/>
          <w:vertAlign w:val="superscript"/>
        </w:rPr>
        <w:t>2</w:t>
      </w:r>
    </w:p>
    <w:p w:rsidR="007D1ECA" w:rsidRDefault="008D61AD" w:rsidP="007D1ECA">
      <w:pPr>
        <w:keepNext/>
        <w:keepLines/>
        <w:jc w:val="center"/>
        <w:outlineLvl w:val="1"/>
        <w:rPr>
          <w:rFonts w:cs="Arial"/>
          <w:vertAlign w:val="superscript"/>
        </w:rPr>
      </w:pPr>
      <w:proofErr w:type="spellStart"/>
      <w:r>
        <w:rPr>
          <w:rFonts w:cs="Arial"/>
        </w:rPr>
        <w:t>LairenYa</w:t>
      </w:r>
      <w:r w:rsidRPr="004E7F31">
        <w:rPr>
          <w:rFonts w:cs="Arial"/>
        </w:rPr>
        <w:t>ima</w:t>
      </w:r>
      <w:r>
        <w:rPr>
          <w:rFonts w:cs="Arial"/>
        </w:rPr>
        <w:t>Gómez</w:t>
      </w:r>
      <w:proofErr w:type="spellEnd"/>
      <w:r>
        <w:rPr>
          <w:rFonts w:cs="Arial"/>
        </w:rPr>
        <w:t xml:space="preserve"> Valdivia</w:t>
      </w:r>
      <w:r>
        <w:rPr>
          <w:rFonts w:cs="Arial"/>
          <w:vertAlign w:val="superscript"/>
        </w:rPr>
        <w:t>3</w:t>
      </w:r>
    </w:p>
    <w:p w:rsidR="008D61AD" w:rsidRDefault="008D61AD" w:rsidP="007D1ECA">
      <w:pPr>
        <w:keepNext/>
        <w:keepLines/>
        <w:jc w:val="center"/>
        <w:outlineLvl w:val="1"/>
        <w:rPr>
          <w:rFonts w:cs="Arial"/>
        </w:rPr>
      </w:pPr>
      <w:r w:rsidRPr="004E7F31">
        <w:rPr>
          <w:rFonts w:cs="Arial"/>
        </w:rPr>
        <w:t>María</w:t>
      </w:r>
      <w:r>
        <w:rPr>
          <w:rFonts w:cs="Arial"/>
        </w:rPr>
        <w:t xml:space="preserve"> de los Ángeles Leal del Ojo Blanco</w:t>
      </w:r>
      <w:r>
        <w:rPr>
          <w:rFonts w:cs="Arial"/>
          <w:vertAlign w:val="superscript"/>
        </w:rPr>
        <w:t>4</w:t>
      </w:r>
      <w:r w:rsidRPr="004E7F31">
        <w:rPr>
          <w:rFonts w:cs="Arial"/>
        </w:rPr>
        <w:t>.</w:t>
      </w:r>
    </w:p>
    <w:p w:rsidR="008D61AD" w:rsidRPr="004869FA" w:rsidRDefault="008D61AD" w:rsidP="007D1ECA">
      <w:pPr>
        <w:pStyle w:val="NormalWeb"/>
        <w:kinsoku w:val="0"/>
        <w:overflowPunct w:val="0"/>
        <w:spacing w:before="0" w:beforeAutospacing="0" w:after="120" w:afterAutospacing="0"/>
        <w:jc w:val="center"/>
        <w:textAlignment w:val="baseline"/>
        <w:rPr>
          <w:rFonts w:ascii="Itál" w:hAnsi="Itál" w:cs="Arial"/>
          <w:sz w:val="22"/>
          <w:szCs w:val="22"/>
        </w:rPr>
      </w:pPr>
      <w:r w:rsidRPr="004869FA">
        <w:rPr>
          <w:rFonts w:ascii="Itál" w:hAnsi="Itál" w:cs="Arial"/>
          <w:kern w:val="24"/>
          <w:sz w:val="22"/>
          <w:szCs w:val="22"/>
          <w:vertAlign w:val="superscript"/>
          <w:lang w:val="es-ES_tradnl"/>
        </w:rPr>
        <w:t xml:space="preserve">1 </w:t>
      </w:r>
      <w:r w:rsidRPr="004869FA">
        <w:rPr>
          <w:rFonts w:ascii="Itál" w:hAnsi="Itál" w:cs="Arial"/>
          <w:sz w:val="22"/>
          <w:szCs w:val="22"/>
        </w:rPr>
        <w:t xml:space="preserve">Doctor en Medicina Veterinaria. </w:t>
      </w:r>
      <w:r w:rsidRPr="004869FA">
        <w:rPr>
          <w:rFonts w:ascii="Itál" w:hAnsi="Itál" w:cs="Arial"/>
          <w:kern w:val="24"/>
          <w:sz w:val="22"/>
          <w:szCs w:val="22"/>
          <w:lang w:val="es-ES_tradnl"/>
        </w:rPr>
        <w:t xml:space="preserve">Doctor en Ciencias Veterinarias. Profesor Titular. Universidad de Sancti Spíritus “José Martí Pérez”, Facultad de Ciencias Agropecuarias, Departamento de Medicina Veterinaria, Sancti Spíritus, Cuba. Correo electrónico: </w:t>
      </w:r>
      <w:hyperlink r:id="rId8" w:history="1">
        <w:r w:rsidRPr="004869FA">
          <w:rPr>
            <w:rStyle w:val="Hipervnculo"/>
            <w:rFonts w:ascii="Itál" w:hAnsi="Itál" w:cs="Arial"/>
            <w:kern w:val="24"/>
            <w:sz w:val="22"/>
            <w:szCs w:val="22"/>
            <w:lang w:val="es-ES_tradnl"/>
          </w:rPr>
          <w:t>juanemilio@uniss.edu.cu</w:t>
        </w:r>
      </w:hyperlink>
      <w:r w:rsidRPr="004869FA">
        <w:rPr>
          <w:rStyle w:val="Hipervnculo"/>
          <w:rFonts w:ascii="Itál" w:hAnsi="Itál" w:cs="Arial"/>
          <w:kern w:val="24"/>
          <w:sz w:val="22"/>
          <w:szCs w:val="22"/>
          <w:lang w:val="es-ES_tradnl"/>
        </w:rPr>
        <w:t>,</w:t>
      </w:r>
      <w:r w:rsidRPr="004869FA">
        <w:rPr>
          <w:rFonts w:ascii="Itál" w:hAnsi="Itál" w:cs="Arial"/>
          <w:kern w:val="24"/>
          <w:sz w:val="22"/>
          <w:szCs w:val="22"/>
          <w:lang w:val="es-ES_tradnl"/>
        </w:rPr>
        <w:t xml:space="preserve"> ORCID: </w:t>
      </w:r>
      <w:hyperlink r:id="rId9" w:history="1">
        <w:r w:rsidRPr="004869FA">
          <w:rPr>
            <w:rStyle w:val="Hipervnculo"/>
            <w:rFonts w:ascii="Itál" w:hAnsi="Itál" w:cs="Arial"/>
            <w:kern w:val="24"/>
            <w:sz w:val="22"/>
            <w:szCs w:val="22"/>
            <w:lang w:val="es-ES_tradnl"/>
          </w:rPr>
          <w:t>https://orcid.org/</w:t>
        </w:r>
        <w:r w:rsidRPr="004869FA">
          <w:rPr>
            <w:rStyle w:val="Hipervnculo"/>
            <w:rFonts w:ascii="Itál" w:hAnsi="Itál" w:cs="Arial"/>
            <w:sz w:val="22"/>
            <w:szCs w:val="22"/>
          </w:rPr>
          <w:t>0000-0002-7471-0561</w:t>
        </w:r>
      </w:hyperlink>
    </w:p>
    <w:p w:rsidR="008D61AD" w:rsidRPr="004869FA" w:rsidRDefault="008D61AD" w:rsidP="007D1ECA">
      <w:pPr>
        <w:pStyle w:val="Textoindependiente"/>
        <w:tabs>
          <w:tab w:val="left" w:pos="459"/>
        </w:tabs>
        <w:overflowPunct w:val="0"/>
        <w:spacing w:after="120"/>
        <w:ind w:left="0" w:right="128"/>
        <w:jc w:val="center"/>
        <w:textAlignment w:val="auto"/>
        <w:rPr>
          <w:rStyle w:val="Hipervnculo"/>
          <w:rFonts w:ascii="Itál" w:hAnsi="Itál" w:cs="Arial"/>
          <w:color w:val="auto"/>
          <w:sz w:val="22"/>
          <w:szCs w:val="22"/>
        </w:rPr>
      </w:pPr>
      <w:r w:rsidRPr="004869FA">
        <w:rPr>
          <w:rFonts w:ascii="Itál" w:hAnsi="Itál" w:cs="Arial"/>
          <w:sz w:val="22"/>
          <w:szCs w:val="22"/>
          <w:vertAlign w:val="superscript"/>
        </w:rPr>
        <w:t xml:space="preserve">2 </w:t>
      </w:r>
      <w:r w:rsidRPr="004869FA">
        <w:rPr>
          <w:rFonts w:ascii="Itál" w:hAnsi="Itál" w:cs="Arial"/>
          <w:sz w:val="22"/>
          <w:szCs w:val="22"/>
        </w:rPr>
        <w:t xml:space="preserve">Médico Veterinario. Especialista del </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z w:val="22"/>
          <w:szCs w:val="22"/>
        </w:rPr>
        <w:t>b</w:t>
      </w:r>
      <w:r w:rsidRPr="004869FA">
        <w:rPr>
          <w:rFonts w:ascii="Itál" w:hAnsi="Itál" w:cs="Arial"/>
          <w:spacing w:val="2"/>
          <w:sz w:val="22"/>
          <w:szCs w:val="22"/>
        </w:rPr>
        <w:t>o</w:t>
      </w:r>
      <w:r w:rsidRPr="004869FA">
        <w:rPr>
          <w:rFonts w:ascii="Itál" w:hAnsi="Itál" w:cs="Arial"/>
          <w:sz w:val="22"/>
          <w:szCs w:val="22"/>
        </w:rPr>
        <w:t>r</w:t>
      </w:r>
      <w:r w:rsidRPr="004869FA">
        <w:rPr>
          <w:rFonts w:ascii="Itál" w:hAnsi="Itál" w:cs="Arial"/>
          <w:spacing w:val="-2"/>
          <w:sz w:val="22"/>
          <w:szCs w:val="22"/>
        </w:rPr>
        <w:t>a</w:t>
      </w:r>
      <w:r w:rsidRPr="004869FA">
        <w:rPr>
          <w:rFonts w:ascii="Itál" w:hAnsi="Itál" w:cs="Arial"/>
          <w:sz w:val="22"/>
          <w:szCs w:val="22"/>
        </w:rPr>
        <w:t>torio</w:t>
      </w:r>
      <w:r w:rsidRPr="004869FA">
        <w:rPr>
          <w:rFonts w:ascii="Itál" w:hAnsi="Itál" w:cs="Arial"/>
          <w:spacing w:val="2"/>
          <w:sz w:val="22"/>
          <w:szCs w:val="22"/>
        </w:rPr>
        <w:t>d</w:t>
      </w:r>
      <w:r w:rsidRPr="004869FA">
        <w:rPr>
          <w:rFonts w:ascii="Itál" w:hAnsi="Itál" w:cs="Arial"/>
          <w:sz w:val="22"/>
          <w:szCs w:val="22"/>
        </w:rPr>
        <w:t>eR</w:t>
      </w:r>
      <w:r w:rsidRPr="004869FA">
        <w:rPr>
          <w:rFonts w:ascii="Itál" w:hAnsi="Itál" w:cs="Arial"/>
          <w:spacing w:val="-1"/>
          <w:sz w:val="22"/>
          <w:szCs w:val="22"/>
        </w:rPr>
        <w:t>e</w:t>
      </w:r>
      <w:r w:rsidRPr="004869FA">
        <w:rPr>
          <w:rFonts w:ascii="Itál" w:hAnsi="Itál" w:cs="Arial"/>
          <w:spacing w:val="1"/>
          <w:sz w:val="22"/>
          <w:szCs w:val="22"/>
        </w:rPr>
        <w:t>f</w:t>
      </w:r>
      <w:r w:rsidRPr="004869FA">
        <w:rPr>
          <w:rFonts w:ascii="Itál" w:hAnsi="Itál" w:cs="Arial"/>
          <w:spacing w:val="-1"/>
          <w:sz w:val="22"/>
          <w:szCs w:val="22"/>
        </w:rPr>
        <w:t>e</w:t>
      </w:r>
      <w:r w:rsidRPr="004869FA">
        <w:rPr>
          <w:rFonts w:ascii="Itál" w:hAnsi="Itál" w:cs="Arial"/>
          <w:sz w:val="22"/>
          <w:szCs w:val="22"/>
        </w:rPr>
        <w:t>r</w:t>
      </w:r>
      <w:r w:rsidRPr="004869FA">
        <w:rPr>
          <w:rFonts w:ascii="Itál" w:hAnsi="Itál" w:cs="Arial"/>
          <w:spacing w:val="-2"/>
          <w:sz w:val="22"/>
          <w:szCs w:val="22"/>
        </w:rPr>
        <w:t>e</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iap</w:t>
      </w:r>
      <w:r w:rsidRPr="004869FA">
        <w:rPr>
          <w:rFonts w:ascii="Itál" w:hAnsi="Itál" w:cs="Arial"/>
          <w:spacing w:val="1"/>
          <w:sz w:val="22"/>
          <w:szCs w:val="22"/>
        </w:rPr>
        <w:t>a</w:t>
      </w:r>
      <w:r w:rsidRPr="004869FA">
        <w:rPr>
          <w:rFonts w:ascii="Itál" w:hAnsi="Itál" w:cs="Arial"/>
          <w:sz w:val="22"/>
          <w:szCs w:val="22"/>
        </w:rPr>
        <w:t>ra</w:t>
      </w:r>
      <w:r w:rsidRPr="004869FA">
        <w:rPr>
          <w:rFonts w:ascii="Itál" w:hAnsi="Itál" w:cs="Arial"/>
          <w:spacing w:val="-4"/>
          <w:sz w:val="22"/>
          <w:szCs w:val="22"/>
        </w:rPr>
        <w:t>I</w:t>
      </w:r>
      <w:r w:rsidRPr="004869FA">
        <w:rPr>
          <w:rFonts w:ascii="Itál" w:hAnsi="Itál" w:cs="Arial"/>
          <w:sz w:val="22"/>
          <w:szCs w:val="22"/>
        </w:rPr>
        <w:t>n</w:t>
      </w:r>
      <w:r w:rsidRPr="004869FA">
        <w:rPr>
          <w:rFonts w:ascii="Itál" w:hAnsi="Itál" w:cs="Arial"/>
          <w:spacing w:val="2"/>
          <w:sz w:val="22"/>
          <w:szCs w:val="22"/>
        </w:rPr>
        <w:t>v</w:t>
      </w:r>
      <w:r w:rsidRPr="004869FA">
        <w:rPr>
          <w:rFonts w:ascii="Itál" w:hAnsi="Itál" w:cs="Arial"/>
          <w:spacing w:val="-1"/>
          <w:sz w:val="22"/>
          <w:szCs w:val="22"/>
        </w:rPr>
        <w:t>e</w:t>
      </w:r>
      <w:r w:rsidRPr="004869FA">
        <w:rPr>
          <w:rFonts w:ascii="Itál" w:hAnsi="Itál" w:cs="Arial"/>
          <w:sz w:val="22"/>
          <w:szCs w:val="22"/>
        </w:rPr>
        <w:t>stig</w:t>
      </w:r>
      <w:r w:rsidRPr="004869FA">
        <w:rPr>
          <w:rFonts w:ascii="Itál" w:hAnsi="Itál" w:cs="Arial"/>
          <w:spacing w:val="-1"/>
          <w:sz w:val="22"/>
          <w:szCs w:val="22"/>
        </w:rPr>
        <w:t>ac</w:t>
      </w:r>
      <w:r w:rsidRPr="004869FA">
        <w:rPr>
          <w:rFonts w:ascii="Itál" w:hAnsi="Itál" w:cs="Arial"/>
          <w:sz w:val="22"/>
          <w:szCs w:val="22"/>
        </w:rPr>
        <w:t>iones y</w:t>
      </w:r>
      <w:r w:rsidRPr="004869FA">
        <w:rPr>
          <w:rFonts w:ascii="Itál" w:hAnsi="Itál" w:cs="Arial"/>
          <w:spacing w:val="3"/>
          <w:sz w:val="22"/>
          <w:szCs w:val="22"/>
        </w:rPr>
        <w:t>S</w:t>
      </w:r>
      <w:r w:rsidRPr="004869FA">
        <w:rPr>
          <w:rFonts w:ascii="Itál" w:hAnsi="Itál" w:cs="Arial"/>
          <w:spacing w:val="-1"/>
          <w:sz w:val="22"/>
          <w:szCs w:val="22"/>
        </w:rPr>
        <w:t>a</w:t>
      </w:r>
      <w:r w:rsidRPr="004869FA">
        <w:rPr>
          <w:rFonts w:ascii="Itál" w:hAnsi="Itál" w:cs="Arial"/>
          <w:sz w:val="22"/>
          <w:szCs w:val="22"/>
        </w:rPr>
        <w:t>ludApí</w:t>
      </w:r>
      <w:r w:rsidRPr="004869FA">
        <w:rPr>
          <w:rFonts w:ascii="Itál" w:hAnsi="Itál" w:cs="Arial"/>
          <w:spacing w:val="-1"/>
          <w:sz w:val="22"/>
          <w:szCs w:val="22"/>
        </w:rPr>
        <w:t>c</w:t>
      </w:r>
      <w:r w:rsidRPr="004869FA">
        <w:rPr>
          <w:rFonts w:ascii="Itál" w:hAnsi="Itál" w:cs="Arial"/>
          <w:sz w:val="22"/>
          <w:szCs w:val="22"/>
        </w:rPr>
        <w:t>ola</w:t>
      </w:r>
      <w:r w:rsidRPr="004869FA">
        <w:rPr>
          <w:rFonts w:ascii="Itál" w:hAnsi="Itál" w:cs="Arial"/>
          <w:spacing w:val="1"/>
          <w:sz w:val="22"/>
          <w:szCs w:val="22"/>
        </w:rPr>
        <w:t>(</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pacing w:val="2"/>
          <w:sz w:val="22"/>
          <w:szCs w:val="22"/>
        </w:rPr>
        <w:t>R</w:t>
      </w:r>
      <w:r w:rsidRPr="004869FA">
        <w:rPr>
          <w:rFonts w:ascii="Itál" w:hAnsi="Itál" w:cs="Arial"/>
          <w:spacing w:val="-6"/>
          <w:sz w:val="22"/>
          <w:szCs w:val="22"/>
        </w:rPr>
        <w:t>I</w:t>
      </w:r>
      <w:r w:rsidRPr="004869FA">
        <w:rPr>
          <w:rFonts w:ascii="Itál" w:hAnsi="Itál" w:cs="Arial"/>
          <w:sz w:val="22"/>
          <w:szCs w:val="22"/>
        </w:rPr>
        <w:t>SA</w:t>
      </w:r>
      <w:r w:rsidRPr="004869FA">
        <w:rPr>
          <w:rFonts w:ascii="Itál" w:hAnsi="Itál" w:cs="Arial"/>
          <w:spacing w:val="-2"/>
          <w:sz w:val="22"/>
          <w:szCs w:val="22"/>
        </w:rPr>
        <w:t>)</w:t>
      </w:r>
      <w:r w:rsidRPr="004869FA">
        <w:rPr>
          <w:rFonts w:ascii="Itál" w:hAnsi="Itál" w:cs="Arial"/>
          <w:sz w:val="22"/>
          <w:szCs w:val="22"/>
        </w:rPr>
        <w:t>,S</w:t>
      </w:r>
      <w:r w:rsidRPr="004869FA">
        <w:rPr>
          <w:rFonts w:ascii="Itál" w:hAnsi="Itál" w:cs="Arial"/>
          <w:spacing w:val="-1"/>
          <w:sz w:val="22"/>
          <w:szCs w:val="22"/>
        </w:rPr>
        <w:t>a</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 xml:space="preserve">ti Spíritus, </w:t>
      </w:r>
      <w:r w:rsidRPr="004869FA">
        <w:rPr>
          <w:rFonts w:ascii="Itál" w:hAnsi="Itál" w:cs="Arial"/>
          <w:spacing w:val="1"/>
          <w:sz w:val="22"/>
          <w:szCs w:val="22"/>
        </w:rPr>
        <w:t>C</w:t>
      </w:r>
      <w:r w:rsidRPr="004869FA">
        <w:rPr>
          <w:rFonts w:ascii="Itál" w:hAnsi="Itál" w:cs="Arial"/>
          <w:sz w:val="22"/>
          <w:szCs w:val="22"/>
        </w:rPr>
        <w:t>ub</w:t>
      </w:r>
      <w:r w:rsidRPr="004869FA">
        <w:rPr>
          <w:rFonts w:ascii="Itál" w:hAnsi="Itál" w:cs="Arial"/>
          <w:spacing w:val="-1"/>
          <w:sz w:val="22"/>
          <w:szCs w:val="22"/>
        </w:rPr>
        <w:t>a</w:t>
      </w:r>
      <w:r w:rsidRPr="004869FA">
        <w:rPr>
          <w:rFonts w:ascii="Itál" w:hAnsi="Itál" w:cs="Arial"/>
          <w:sz w:val="22"/>
          <w:szCs w:val="22"/>
        </w:rPr>
        <w:t xml:space="preserve">. Correo electrónico: </w:t>
      </w:r>
      <w:hyperlink r:id="rId10" w:history="1">
        <w:r w:rsidRPr="004869FA">
          <w:rPr>
            <w:rStyle w:val="Hipervnculo"/>
            <w:rFonts w:ascii="Itál" w:hAnsi="Itál" w:cs="Arial"/>
            <w:sz w:val="22"/>
            <w:szCs w:val="22"/>
          </w:rPr>
          <w:t>diagnostico@larisa.ulcesa.minag.gob.cu</w:t>
        </w:r>
      </w:hyperlink>
      <w:r w:rsidRPr="004869FA">
        <w:rPr>
          <w:rFonts w:ascii="Itál" w:hAnsi="Itál" w:cs="Arial"/>
          <w:kern w:val="24"/>
          <w:sz w:val="22"/>
          <w:szCs w:val="22"/>
          <w:lang w:val="es-ES_tradnl"/>
        </w:rPr>
        <w:t xml:space="preserve">ORCID: </w:t>
      </w:r>
      <w:hyperlink r:id="rId11" w:history="1">
        <w:r w:rsidRPr="004869FA">
          <w:rPr>
            <w:rStyle w:val="Hipervnculo"/>
            <w:rFonts w:ascii="Itál" w:hAnsi="Itál" w:cs="Arial"/>
            <w:kern w:val="24"/>
            <w:sz w:val="22"/>
            <w:szCs w:val="22"/>
            <w:lang w:val="es-ES_tradnl"/>
          </w:rPr>
          <w:t>https://orcid.org/</w:t>
        </w:r>
        <w:r w:rsidRPr="004869FA">
          <w:rPr>
            <w:rStyle w:val="Hipervnculo"/>
            <w:rFonts w:ascii="Itál" w:hAnsi="Itál" w:cs="Arial"/>
            <w:sz w:val="22"/>
            <w:szCs w:val="22"/>
          </w:rPr>
          <w:t>0000-0002-6451-5627</w:t>
        </w:r>
      </w:hyperlink>
    </w:p>
    <w:p w:rsidR="005623C5" w:rsidRPr="004869FA" w:rsidRDefault="005623C5" w:rsidP="007D1ECA">
      <w:pPr>
        <w:pStyle w:val="Textoindependiente"/>
        <w:tabs>
          <w:tab w:val="left" w:pos="459"/>
        </w:tabs>
        <w:overflowPunct w:val="0"/>
        <w:spacing w:after="120"/>
        <w:ind w:left="0" w:right="128"/>
        <w:jc w:val="center"/>
        <w:textAlignment w:val="auto"/>
        <w:rPr>
          <w:rFonts w:ascii="Itál" w:hAnsi="Itál" w:cs="Courier New"/>
          <w:sz w:val="22"/>
          <w:szCs w:val="22"/>
        </w:rPr>
      </w:pPr>
      <w:r w:rsidRPr="004869FA">
        <w:rPr>
          <w:rStyle w:val="Hipervnculo"/>
          <w:rFonts w:ascii="Itál" w:hAnsi="Itál" w:cs="Arial"/>
          <w:color w:val="auto"/>
          <w:sz w:val="22"/>
          <w:szCs w:val="22"/>
          <w:u w:val="none"/>
          <w:vertAlign w:val="superscript"/>
        </w:rPr>
        <w:t xml:space="preserve">3 </w:t>
      </w:r>
      <w:r w:rsidRPr="004869FA">
        <w:rPr>
          <w:rFonts w:ascii="Itál" w:hAnsi="Itál" w:cs="Arial"/>
          <w:sz w:val="22"/>
          <w:szCs w:val="22"/>
        </w:rPr>
        <w:t xml:space="preserve">Médico Veterinario. Especialista del </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z w:val="22"/>
          <w:szCs w:val="22"/>
        </w:rPr>
        <w:t>b</w:t>
      </w:r>
      <w:r w:rsidRPr="004869FA">
        <w:rPr>
          <w:rFonts w:ascii="Itál" w:hAnsi="Itál" w:cs="Arial"/>
          <w:spacing w:val="2"/>
          <w:sz w:val="22"/>
          <w:szCs w:val="22"/>
        </w:rPr>
        <w:t>o</w:t>
      </w:r>
      <w:r w:rsidRPr="004869FA">
        <w:rPr>
          <w:rFonts w:ascii="Itál" w:hAnsi="Itál" w:cs="Arial"/>
          <w:sz w:val="22"/>
          <w:szCs w:val="22"/>
        </w:rPr>
        <w:t>r</w:t>
      </w:r>
      <w:r w:rsidRPr="004869FA">
        <w:rPr>
          <w:rFonts w:ascii="Itál" w:hAnsi="Itál" w:cs="Arial"/>
          <w:spacing w:val="-2"/>
          <w:sz w:val="22"/>
          <w:szCs w:val="22"/>
        </w:rPr>
        <w:t>a</w:t>
      </w:r>
      <w:r w:rsidRPr="004869FA">
        <w:rPr>
          <w:rFonts w:ascii="Itál" w:hAnsi="Itál" w:cs="Arial"/>
          <w:sz w:val="22"/>
          <w:szCs w:val="22"/>
        </w:rPr>
        <w:t>torio</w:t>
      </w:r>
      <w:r w:rsidRPr="004869FA">
        <w:rPr>
          <w:rFonts w:ascii="Itál" w:hAnsi="Itál" w:cs="Arial"/>
          <w:spacing w:val="2"/>
          <w:sz w:val="22"/>
          <w:szCs w:val="22"/>
        </w:rPr>
        <w:t>d</w:t>
      </w:r>
      <w:r w:rsidRPr="004869FA">
        <w:rPr>
          <w:rFonts w:ascii="Itál" w:hAnsi="Itál" w:cs="Arial"/>
          <w:sz w:val="22"/>
          <w:szCs w:val="22"/>
        </w:rPr>
        <w:t>eR</w:t>
      </w:r>
      <w:r w:rsidRPr="004869FA">
        <w:rPr>
          <w:rFonts w:ascii="Itál" w:hAnsi="Itál" w:cs="Arial"/>
          <w:spacing w:val="-1"/>
          <w:sz w:val="22"/>
          <w:szCs w:val="22"/>
        </w:rPr>
        <w:t>e</w:t>
      </w:r>
      <w:r w:rsidRPr="004869FA">
        <w:rPr>
          <w:rFonts w:ascii="Itál" w:hAnsi="Itál" w:cs="Arial"/>
          <w:spacing w:val="1"/>
          <w:sz w:val="22"/>
          <w:szCs w:val="22"/>
        </w:rPr>
        <w:t>f</w:t>
      </w:r>
      <w:r w:rsidRPr="004869FA">
        <w:rPr>
          <w:rFonts w:ascii="Itál" w:hAnsi="Itál" w:cs="Arial"/>
          <w:spacing w:val="-1"/>
          <w:sz w:val="22"/>
          <w:szCs w:val="22"/>
        </w:rPr>
        <w:t>e</w:t>
      </w:r>
      <w:r w:rsidRPr="004869FA">
        <w:rPr>
          <w:rFonts w:ascii="Itál" w:hAnsi="Itál" w:cs="Arial"/>
          <w:sz w:val="22"/>
          <w:szCs w:val="22"/>
        </w:rPr>
        <w:t>r</w:t>
      </w:r>
      <w:r w:rsidRPr="004869FA">
        <w:rPr>
          <w:rFonts w:ascii="Itál" w:hAnsi="Itál" w:cs="Arial"/>
          <w:spacing w:val="-2"/>
          <w:sz w:val="22"/>
          <w:szCs w:val="22"/>
        </w:rPr>
        <w:t>e</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iap</w:t>
      </w:r>
      <w:r w:rsidRPr="004869FA">
        <w:rPr>
          <w:rFonts w:ascii="Itál" w:hAnsi="Itál" w:cs="Arial"/>
          <w:spacing w:val="1"/>
          <w:sz w:val="22"/>
          <w:szCs w:val="22"/>
        </w:rPr>
        <w:t>a</w:t>
      </w:r>
      <w:r w:rsidRPr="004869FA">
        <w:rPr>
          <w:rFonts w:ascii="Itál" w:hAnsi="Itál" w:cs="Arial"/>
          <w:sz w:val="22"/>
          <w:szCs w:val="22"/>
        </w:rPr>
        <w:t>ra</w:t>
      </w:r>
      <w:r w:rsidRPr="004869FA">
        <w:rPr>
          <w:rFonts w:ascii="Itál" w:hAnsi="Itál" w:cs="Arial"/>
          <w:spacing w:val="-4"/>
          <w:sz w:val="22"/>
          <w:szCs w:val="22"/>
        </w:rPr>
        <w:t>I</w:t>
      </w:r>
      <w:r w:rsidRPr="004869FA">
        <w:rPr>
          <w:rFonts w:ascii="Itál" w:hAnsi="Itál" w:cs="Arial"/>
          <w:sz w:val="22"/>
          <w:szCs w:val="22"/>
        </w:rPr>
        <w:t>n</w:t>
      </w:r>
      <w:r w:rsidRPr="004869FA">
        <w:rPr>
          <w:rFonts w:ascii="Itál" w:hAnsi="Itál" w:cs="Arial"/>
          <w:spacing w:val="2"/>
          <w:sz w:val="22"/>
          <w:szCs w:val="22"/>
        </w:rPr>
        <w:t>v</w:t>
      </w:r>
      <w:r w:rsidRPr="004869FA">
        <w:rPr>
          <w:rFonts w:ascii="Itál" w:hAnsi="Itál" w:cs="Arial"/>
          <w:spacing w:val="-1"/>
          <w:sz w:val="22"/>
          <w:szCs w:val="22"/>
        </w:rPr>
        <w:t>e</w:t>
      </w:r>
      <w:r w:rsidRPr="004869FA">
        <w:rPr>
          <w:rFonts w:ascii="Itál" w:hAnsi="Itál" w:cs="Arial"/>
          <w:sz w:val="22"/>
          <w:szCs w:val="22"/>
        </w:rPr>
        <w:t>stig</w:t>
      </w:r>
      <w:r w:rsidRPr="004869FA">
        <w:rPr>
          <w:rFonts w:ascii="Itál" w:hAnsi="Itál" w:cs="Arial"/>
          <w:spacing w:val="-1"/>
          <w:sz w:val="22"/>
          <w:szCs w:val="22"/>
        </w:rPr>
        <w:t>ac</w:t>
      </w:r>
      <w:r w:rsidRPr="004869FA">
        <w:rPr>
          <w:rFonts w:ascii="Itál" w:hAnsi="Itál" w:cs="Arial"/>
          <w:sz w:val="22"/>
          <w:szCs w:val="22"/>
        </w:rPr>
        <w:t>iones y</w:t>
      </w:r>
      <w:r w:rsidRPr="004869FA">
        <w:rPr>
          <w:rFonts w:ascii="Itál" w:hAnsi="Itál" w:cs="Arial"/>
          <w:spacing w:val="3"/>
          <w:sz w:val="22"/>
          <w:szCs w:val="22"/>
        </w:rPr>
        <w:t>S</w:t>
      </w:r>
      <w:r w:rsidRPr="004869FA">
        <w:rPr>
          <w:rFonts w:ascii="Itál" w:hAnsi="Itál" w:cs="Arial"/>
          <w:spacing w:val="-1"/>
          <w:sz w:val="22"/>
          <w:szCs w:val="22"/>
        </w:rPr>
        <w:t>a</w:t>
      </w:r>
      <w:r w:rsidRPr="004869FA">
        <w:rPr>
          <w:rFonts w:ascii="Itál" w:hAnsi="Itál" w:cs="Arial"/>
          <w:sz w:val="22"/>
          <w:szCs w:val="22"/>
        </w:rPr>
        <w:t>ludApí</w:t>
      </w:r>
      <w:r w:rsidRPr="004869FA">
        <w:rPr>
          <w:rFonts w:ascii="Itál" w:hAnsi="Itál" w:cs="Arial"/>
          <w:spacing w:val="-1"/>
          <w:sz w:val="22"/>
          <w:szCs w:val="22"/>
        </w:rPr>
        <w:t>c</w:t>
      </w:r>
      <w:r w:rsidRPr="004869FA">
        <w:rPr>
          <w:rFonts w:ascii="Itál" w:hAnsi="Itál" w:cs="Arial"/>
          <w:sz w:val="22"/>
          <w:szCs w:val="22"/>
        </w:rPr>
        <w:t>ola</w:t>
      </w:r>
      <w:r w:rsidRPr="004869FA">
        <w:rPr>
          <w:rFonts w:ascii="Itál" w:hAnsi="Itál" w:cs="Arial"/>
          <w:spacing w:val="1"/>
          <w:sz w:val="22"/>
          <w:szCs w:val="22"/>
        </w:rPr>
        <w:t>(</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pacing w:val="2"/>
          <w:sz w:val="22"/>
          <w:szCs w:val="22"/>
        </w:rPr>
        <w:t>R</w:t>
      </w:r>
      <w:r w:rsidRPr="004869FA">
        <w:rPr>
          <w:rFonts w:ascii="Itál" w:hAnsi="Itál" w:cs="Arial"/>
          <w:spacing w:val="-6"/>
          <w:sz w:val="22"/>
          <w:szCs w:val="22"/>
        </w:rPr>
        <w:t>I</w:t>
      </w:r>
      <w:r w:rsidRPr="004869FA">
        <w:rPr>
          <w:rFonts w:ascii="Itál" w:hAnsi="Itál" w:cs="Arial"/>
          <w:sz w:val="22"/>
          <w:szCs w:val="22"/>
        </w:rPr>
        <w:t>SA</w:t>
      </w:r>
      <w:r w:rsidRPr="004869FA">
        <w:rPr>
          <w:rFonts w:ascii="Itál" w:hAnsi="Itál" w:cs="Arial"/>
          <w:spacing w:val="-2"/>
          <w:sz w:val="22"/>
          <w:szCs w:val="22"/>
        </w:rPr>
        <w:t>)</w:t>
      </w:r>
      <w:r w:rsidRPr="004869FA">
        <w:rPr>
          <w:rFonts w:ascii="Itál" w:hAnsi="Itál" w:cs="Arial"/>
          <w:sz w:val="22"/>
          <w:szCs w:val="22"/>
        </w:rPr>
        <w:t>,S</w:t>
      </w:r>
      <w:r w:rsidRPr="004869FA">
        <w:rPr>
          <w:rFonts w:ascii="Itál" w:hAnsi="Itál" w:cs="Arial"/>
          <w:spacing w:val="-1"/>
          <w:sz w:val="22"/>
          <w:szCs w:val="22"/>
        </w:rPr>
        <w:t>a</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 xml:space="preserve">ti Spíritus, </w:t>
      </w:r>
      <w:r w:rsidRPr="004869FA">
        <w:rPr>
          <w:rFonts w:ascii="Itál" w:hAnsi="Itál" w:cs="Arial"/>
          <w:spacing w:val="1"/>
          <w:sz w:val="22"/>
          <w:szCs w:val="22"/>
        </w:rPr>
        <w:t>C</w:t>
      </w:r>
      <w:r w:rsidRPr="004869FA">
        <w:rPr>
          <w:rFonts w:ascii="Itál" w:hAnsi="Itál" w:cs="Arial"/>
          <w:sz w:val="22"/>
          <w:szCs w:val="22"/>
        </w:rPr>
        <w:t>ub</w:t>
      </w:r>
      <w:r w:rsidRPr="004869FA">
        <w:rPr>
          <w:rFonts w:ascii="Itál" w:hAnsi="Itál" w:cs="Arial"/>
          <w:spacing w:val="-1"/>
          <w:sz w:val="22"/>
          <w:szCs w:val="22"/>
        </w:rPr>
        <w:t>a</w:t>
      </w:r>
      <w:r w:rsidRPr="004869FA">
        <w:rPr>
          <w:rFonts w:ascii="Itál" w:hAnsi="Itál" w:cs="Arial"/>
          <w:sz w:val="22"/>
          <w:szCs w:val="22"/>
        </w:rPr>
        <w:t xml:space="preserve">. Correo electrónico: </w:t>
      </w:r>
      <w:hyperlink r:id="rId12" w:history="1">
        <w:r w:rsidRPr="004869FA">
          <w:rPr>
            <w:rStyle w:val="Hipervnculo"/>
            <w:rFonts w:ascii="Itál" w:hAnsi="Itál" w:cs="Arial"/>
            <w:sz w:val="22"/>
            <w:szCs w:val="22"/>
          </w:rPr>
          <w:t>diagnostico@larisa.ulcesa.minag.gob.cu</w:t>
        </w:r>
      </w:hyperlink>
      <w:r w:rsidR="004869FA" w:rsidRPr="004869FA">
        <w:rPr>
          <w:rFonts w:ascii="Itál" w:hAnsi="Itál" w:cs="Arial"/>
          <w:kern w:val="24"/>
          <w:sz w:val="22"/>
          <w:szCs w:val="22"/>
          <w:lang w:val="es-ES_tradnl"/>
        </w:rPr>
        <w:t xml:space="preserve">ORCID: </w:t>
      </w:r>
      <w:hyperlink r:id="rId13" w:history="1">
        <w:r w:rsidR="004869FA" w:rsidRPr="004869FA">
          <w:rPr>
            <w:rStyle w:val="Hipervnculo"/>
            <w:rFonts w:ascii="Itál" w:hAnsi="Itál" w:cs="Courier New"/>
            <w:sz w:val="22"/>
            <w:szCs w:val="22"/>
          </w:rPr>
          <w:t>https://orcid.org/0000-0002-9319-1111</w:t>
        </w:r>
      </w:hyperlink>
    </w:p>
    <w:p w:rsidR="004869FA" w:rsidRPr="004869FA" w:rsidRDefault="004869FA" w:rsidP="007D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tál" w:hAnsi="Itál" w:cs="Courier New"/>
          <w:sz w:val="22"/>
          <w:szCs w:val="22"/>
          <w:lang w:val="pt-BR"/>
        </w:rPr>
      </w:pPr>
      <w:r w:rsidRPr="004869FA">
        <w:rPr>
          <w:rFonts w:ascii="Itál" w:hAnsi="Itál" w:cs="Courier New"/>
          <w:sz w:val="22"/>
          <w:szCs w:val="22"/>
          <w:vertAlign w:val="superscript"/>
        </w:rPr>
        <w:t xml:space="preserve">4 </w:t>
      </w:r>
      <w:r w:rsidRPr="004869FA">
        <w:rPr>
          <w:rFonts w:ascii="Itál" w:hAnsi="Itál" w:cs="Arial"/>
          <w:sz w:val="22"/>
          <w:szCs w:val="22"/>
        </w:rPr>
        <w:t xml:space="preserve">Tecnóloga. Especialista del </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z w:val="22"/>
          <w:szCs w:val="22"/>
        </w:rPr>
        <w:t>b</w:t>
      </w:r>
      <w:r w:rsidRPr="004869FA">
        <w:rPr>
          <w:rFonts w:ascii="Itál" w:hAnsi="Itál" w:cs="Arial"/>
          <w:spacing w:val="2"/>
          <w:sz w:val="22"/>
          <w:szCs w:val="22"/>
        </w:rPr>
        <w:t>o</w:t>
      </w:r>
      <w:r w:rsidRPr="004869FA">
        <w:rPr>
          <w:rFonts w:ascii="Itál" w:hAnsi="Itál" w:cs="Arial"/>
          <w:sz w:val="22"/>
          <w:szCs w:val="22"/>
        </w:rPr>
        <w:t>r</w:t>
      </w:r>
      <w:r w:rsidRPr="004869FA">
        <w:rPr>
          <w:rFonts w:ascii="Itál" w:hAnsi="Itál" w:cs="Arial"/>
          <w:spacing w:val="-2"/>
          <w:sz w:val="22"/>
          <w:szCs w:val="22"/>
        </w:rPr>
        <w:t>a</w:t>
      </w:r>
      <w:r w:rsidRPr="004869FA">
        <w:rPr>
          <w:rFonts w:ascii="Itál" w:hAnsi="Itál" w:cs="Arial"/>
          <w:sz w:val="22"/>
          <w:szCs w:val="22"/>
        </w:rPr>
        <w:t>torio</w:t>
      </w:r>
      <w:r w:rsidRPr="004869FA">
        <w:rPr>
          <w:rFonts w:ascii="Itál" w:hAnsi="Itál" w:cs="Arial"/>
          <w:spacing w:val="2"/>
          <w:sz w:val="22"/>
          <w:szCs w:val="22"/>
        </w:rPr>
        <w:t>d</w:t>
      </w:r>
      <w:r w:rsidRPr="004869FA">
        <w:rPr>
          <w:rFonts w:ascii="Itál" w:hAnsi="Itál" w:cs="Arial"/>
          <w:sz w:val="22"/>
          <w:szCs w:val="22"/>
        </w:rPr>
        <w:t>eR</w:t>
      </w:r>
      <w:r w:rsidRPr="004869FA">
        <w:rPr>
          <w:rFonts w:ascii="Itál" w:hAnsi="Itál" w:cs="Arial"/>
          <w:spacing w:val="-1"/>
          <w:sz w:val="22"/>
          <w:szCs w:val="22"/>
        </w:rPr>
        <w:t>e</w:t>
      </w:r>
      <w:r w:rsidRPr="004869FA">
        <w:rPr>
          <w:rFonts w:ascii="Itál" w:hAnsi="Itál" w:cs="Arial"/>
          <w:spacing w:val="1"/>
          <w:sz w:val="22"/>
          <w:szCs w:val="22"/>
        </w:rPr>
        <w:t>f</w:t>
      </w:r>
      <w:r w:rsidRPr="004869FA">
        <w:rPr>
          <w:rFonts w:ascii="Itál" w:hAnsi="Itál" w:cs="Arial"/>
          <w:spacing w:val="-1"/>
          <w:sz w:val="22"/>
          <w:szCs w:val="22"/>
        </w:rPr>
        <w:t>e</w:t>
      </w:r>
      <w:r w:rsidRPr="004869FA">
        <w:rPr>
          <w:rFonts w:ascii="Itál" w:hAnsi="Itál" w:cs="Arial"/>
          <w:sz w:val="22"/>
          <w:szCs w:val="22"/>
        </w:rPr>
        <w:t>r</w:t>
      </w:r>
      <w:r w:rsidRPr="004869FA">
        <w:rPr>
          <w:rFonts w:ascii="Itál" w:hAnsi="Itál" w:cs="Arial"/>
          <w:spacing w:val="-2"/>
          <w:sz w:val="22"/>
          <w:szCs w:val="22"/>
        </w:rPr>
        <w:t>e</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iap</w:t>
      </w:r>
      <w:r w:rsidRPr="004869FA">
        <w:rPr>
          <w:rFonts w:ascii="Itál" w:hAnsi="Itál" w:cs="Arial"/>
          <w:spacing w:val="1"/>
          <w:sz w:val="22"/>
          <w:szCs w:val="22"/>
        </w:rPr>
        <w:t>a</w:t>
      </w:r>
      <w:r w:rsidRPr="004869FA">
        <w:rPr>
          <w:rFonts w:ascii="Itál" w:hAnsi="Itál" w:cs="Arial"/>
          <w:sz w:val="22"/>
          <w:szCs w:val="22"/>
        </w:rPr>
        <w:t>ra</w:t>
      </w:r>
      <w:r w:rsidRPr="004869FA">
        <w:rPr>
          <w:rFonts w:ascii="Itál" w:hAnsi="Itál" w:cs="Arial"/>
          <w:spacing w:val="-4"/>
          <w:sz w:val="22"/>
          <w:szCs w:val="22"/>
        </w:rPr>
        <w:t>I</w:t>
      </w:r>
      <w:r w:rsidRPr="004869FA">
        <w:rPr>
          <w:rFonts w:ascii="Itál" w:hAnsi="Itál" w:cs="Arial"/>
          <w:sz w:val="22"/>
          <w:szCs w:val="22"/>
        </w:rPr>
        <w:t>n</w:t>
      </w:r>
      <w:r w:rsidRPr="004869FA">
        <w:rPr>
          <w:rFonts w:ascii="Itál" w:hAnsi="Itál" w:cs="Arial"/>
          <w:spacing w:val="2"/>
          <w:sz w:val="22"/>
          <w:szCs w:val="22"/>
        </w:rPr>
        <w:t>v</w:t>
      </w:r>
      <w:r w:rsidRPr="004869FA">
        <w:rPr>
          <w:rFonts w:ascii="Itál" w:hAnsi="Itál" w:cs="Arial"/>
          <w:spacing w:val="-1"/>
          <w:sz w:val="22"/>
          <w:szCs w:val="22"/>
        </w:rPr>
        <w:t>e</w:t>
      </w:r>
      <w:r w:rsidRPr="004869FA">
        <w:rPr>
          <w:rFonts w:ascii="Itál" w:hAnsi="Itál" w:cs="Arial"/>
          <w:sz w:val="22"/>
          <w:szCs w:val="22"/>
        </w:rPr>
        <w:t>stig</w:t>
      </w:r>
      <w:r w:rsidRPr="004869FA">
        <w:rPr>
          <w:rFonts w:ascii="Itál" w:hAnsi="Itál" w:cs="Arial"/>
          <w:spacing w:val="-1"/>
          <w:sz w:val="22"/>
          <w:szCs w:val="22"/>
        </w:rPr>
        <w:t>ac</w:t>
      </w:r>
      <w:r w:rsidRPr="004869FA">
        <w:rPr>
          <w:rFonts w:ascii="Itál" w:hAnsi="Itál" w:cs="Arial"/>
          <w:sz w:val="22"/>
          <w:szCs w:val="22"/>
        </w:rPr>
        <w:t>iones y</w:t>
      </w:r>
      <w:r w:rsidRPr="004869FA">
        <w:rPr>
          <w:rFonts w:ascii="Itál" w:hAnsi="Itál" w:cs="Arial"/>
          <w:spacing w:val="3"/>
          <w:sz w:val="22"/>
          <w:szCs w:val="22"/>
        </w:rPr>
        <w:t>S</w:t>
      </w:r>
      <w:r w:rsidRPr="004869FA">
        <w:rPr>
          <w:rFonts w:ascii="Itál" w:hAnsi="Itál" w:cs="Arial"/>
          <w:spacing w:val="-1"/>
          <w:sz w:val="22"/>
          <w:szCs w:val="22"/>
        </w:rPr>
        <w:t>a</w:t>
      </w:r>
      <w:r w:rsidRPr="004869FA">
        <w:rPr>
          <w:rFonts w:ascii="Itál" w:hAnsi="Itál" w:cs="Arial"/>
          <w:sz w:val="22"/>
          <w:szCs w:val="22"/>
        </w:rPr>
        <w:t>ludApí</w:t>
      </w:r>
      <w:r w:rsidRPr="004869FA">
        <w:rPr>
          <w:rFonts w:ascii="Itál" w:hAnsi="Itál" w:cs="Arial"/>
          <w:spacing w:val="-1"/>
          <w:sz w:val="22"/>
          <w:szCs w:val="22"/>
        </w:rPr>
        <w:t>c</w:t>
      </w:r>
      <w:r w:rsidRPr="004869FA">
        <w:rPr>
          <w:rFonts w:ascii="Itál" w:hAnsi="Itál" w:cs="Arial"/>
          <w:sz w:val="22"/>
          <w:szCs w:val="22"/>
        </w:rPr>
        <w:t>ola</w:t>
      </w:r>
      <w:r w:rsidRPr="004869FA">
        <w:rPr>
          <w:rFonts w:ascii="Itál" w:hAnsi="Itál" w:cs="Arial"/>
          <w:spacing w:val="1"/>
          <w:sz w:val="22"/>
          <w:szCs w:val="22"/>
        </w:rPr>
        <w:t>(</w:t>
      </w:r>
      <w:r w:rsidRPr="004869FA">
        <w:rPr>
          <w:rFonts w:ascii="Itál" w:hAnsi="Itál" w:cs="Arial"/>
          <w:spacing w:val="-3"/>
          <w:sz w:val="22"/>
          <w:szCs w:val="22"/>
        </w:rPr>
        <w:t>L</w:t>
      </w:r>
      <w:r w:rsidRPr="004869FA">
        <w:rPr>
          <w:rFonts w:ascii="Itál" w:hAnsi="Itál" w:cs="Arial"/>
          <w:spacing w:val="1"/>
          <w:sz w:val="22"/>
          <w:szCs w:val="22"/>
        </w:rPr>
        <w:t>A</w:t>
      </w:r>
      <w:r w:rsidRPr="004869FA">
        <w:rPr>
          <w:rFonts w:ascii="Itál" w:hAnsi="Itál" w:cs="Arial"/>
          <w:spacing w:val="2"/>
          <w:sz w:val="22"/>
          <w:szCs w:val="22"/>
        </w:rPr>
        <w:t>R</w:t>
      </w:r>
      <w:r w:rsidRPr="004869FA">
        <w:rPr>
          <w:rFonts w:ascii="Itál" w:hAnsi="Itál" w:cs="Arial"/>
          <w:spacing w:val="-6"/>
          <w:sz w:val="22"/>
          <w:szCs w:val="22"/>
        </w:rPr>
        <w:t>I</w:t>
      </w:r>
      <w:r w:rsidRPr="004869FA">
        <w:rPr>
          <w:rFonts w:ascii="Itál" w:hAnsi="Itál" w:cs="Arial"/>
          <w:sz w:val="22"/>
          <w:szCs w:val="22"/>
        </w:rPr>
        <w:t>SA</w:t>
      </w:r>
      <w:r w:rsidRPr="004869FA">
        <w:rPr>
          <w:rFonts w:ascii="Itál" w:hAnsi="Itál" w:cs="Arial"/>
          <w:spacing w:val="-2"/>
          <w:sz w:val="22"/>
          <w:szCs w:val="22"/>
        </w:rPr>
        <w:t>)</w:t>
      </w:r>
      <w:r w:rsidRPr="004869FA">
        <w:rPr>
          <w:rFonts w:ascii="Itál" w:hAnsi="Itál" w:cs="Arial"/>
          <w:sz w:val="22"/>
          <w:szCs w:val="22"/>
        </w:rPr>
        <w:t>,S</w:t>
      </w:r>
      <w:r w:rsidRPr="004869FA">
        <w:rPr>
          <w:rFonts w:ascii="Itál" w:hAnsi="Itál" w:cs="Arial"/>
          <w:spacing w:val="-1"/>
          <w:sz w:val="22"/>
          <w:szCs w:val="22"/>
        </w:rPr>
        <w:t>a</w:t>
      </w:r>
      <w:r w:rsidRPr="004869FA">
        <w:rPr>
          <w:rFonts w:ascii="Itál" w:hAnsi="Itál" w:cs="Arial"/>
          <w:spacing w:val="2"/>
          <w:sz w:val="22"/>
          <w:szCs w:val="22"/>
        </w:rPr>
        <w:t>n</w:t>
      </w:r>
      <w:r w:rsidRPr="004869FA">
        <w:rPr>
          <w:rFonts w:ascii="Itál" w:hAnsi="Itál" w:cs="Arial"/>
          <w:spacing w:val="-1"/>
          <w:sz w:val="22"/>
          <w:szCs w:val="22"/>
        </w:rPr>
        <w:t>c</w:t>
      </w:r>
      <w:r w:rsidRPr="004869FA">
        <w:rPr>
          <w:rFonts w:ascii="Itál" w:hAnsi="Itál" w:cs="Arial"/>
          <w:sz w:val="22"/>
          <w:szCs w:val="22"/>
        </w:rPr>
        <w:t xml:space="preserve">ti Spíritus, </w:t>
      </w:r>
      <w:r w:rsidRPr="004869FA">
        <w:rPr>
          <w:rFonts w:ascii="Itál" w:hAnsi="Itál" w:cs="Arial"/>
          <w:spacing w:val="1"/>
          <w:sz w:val="22"/>
          <w:szCs w:val="22"/>
        </w:rPr>
        <w:t>C</w:t>
      </w:r>
      <w:r w:rsidRPr="004869FA">
        <w:rPr>
          <w:rFonts w:ascii="Itál" w:hAnsi="Itál" w:cs="Arial"/>
          <w:sz w:val="22"/>
          <w:szCs w:val="22"/>
        </w:rPr>
        <w:t>ub</w:t>
      </w:r>
      <w:r w:rsidRPr="004869FA">
        <w:rPr>
          <w:rFonts w:ascii="Itál" w:hAnsi="Itál" w:cs="Arial"/>
          <w:spacing w:val="-1"/>
          <w:sz w:val="22"/>
          <w:szCs w:val="22"/>
        </w:rPr>
        <w:t>a</w:t>
      </w:r>
      <w:r w:rsidRPr="004869FA">
        <w:rPr>
          <w:rFonts w:ascii="Itál" w:hAnsi="Itál" w:cs="Arial"/>
          <w:sz w:val="22"/>
          <w:szCs w:val="22"/>
        </w:rPr>
        <w:t xml:space="preserve">. Correo electrónico: </w:t>
      </w:r>
      <w:hyperlink r:id="rId14" w:history="1">
        <w:r w:rsidRPr="004869FA">
          <w:rPr>
            <w:rStyle w:val="Hipervnculo"/>
            <w:rFonts w:ascii="Itál" w:hAnsi="Itál" w:cs="Arial"/>
            <w:sz w:val="22"/>
            <w:szCs w:val="22"/>
          </w:rPr>
          <w:t>diagnostico@larisa.ulcesa.minag.gob.cu</w:t>
        </w:r>
      </w:hyperlink>
      <w:r w:rsidRPr="004869FA">
        <w:rPr>
          <w:rFonts w:ascii="Itál" w:hAnsi="Itál" w:cs="Arial"/>
          <w:kern w:val="24"/>
          <w:sz w:val="22"/>
          <w:szCs w:val="22"/>
          <w:lang w:val="es-ES_tradnl"/>
        </w:rPr>
        <w:t xml:space="preserve">ORCID: </w:t>
      </w:r>
      <w:hyperlink r:id="rId15" w:history="1">
        <w:r w:rsidRPr="004869FA">
          <w:rPr>
            <w:rStyle w:val="Hipervnculo"/>
            <w:rFonts w:ascii="Itál" w:hAnsi="Itál" w:cs="Courier New"/>
            <w:sz w:val="22"/>
            <w:szCs w:val="22"/>
            <w:lang w:val="pt-BR"/>
          </w:rPr>
          <w:t>https://orcid.org/0000-0003-4906-3080</w:t>
        </w:r>
      </w:hyperlink>
    </w:p>
    <w:p w:rsidR="004869FA" w:rsidRPr="003B144A" w:rsidRDefault="004869FA" w:rsidP="007D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lang w:val="pt-BR"/>
        </w:rPr>
      </w:pPr>
    </w:p>
    <w:p w:rsidR="008D61AD" w:rsidRPr="004E7F31" w:rsidRDefault="008D61AD" w:rsidP="008D61AD">
      <w:pPr>
        <w:tabs>
          <w:tab w:val="left" w:pos="1515"/>
        </w:tabs>
        <w:jc w:val="center"/>
        <w:rPr>
          <w:rFonts w:cs="Arial"/>
          <w:b/>
        </w:rPr>
      </w:pPr>
      <w:r w:rsidRPr="004E7F31">
        <w:rPr>
          <w:rFonts w:cs="Arial"/>
          <w:b/>
        </w:rPr>
        <w:t>Resumen</w:t>
      </w:r>
    </w:p>
    <w:p w:rsidR="008D61AD" w:rsidRPr="004E7F31" w:rsidRDefault="008D61AD" w:rsidP="008D61AD">
      <w:pPr>
        <w:autoSpaceDE w:val="0"/>
        <w:autoSpaceDN w:val="0"/>
        <w:adjustRightInd w:val="0"/>
        <w:rPr>
          <w:rFonts w:cs="Arial"/>
        </w:rPr>
      </w:pPr>
      <w:r w:rsidRPr="004E7F31">
        <w:rPr>
          <w:rFonts w:eastAsia="Calibri" w:cs="Arial"/>
          <w:bCs/>
        </w:rPr>
        <w:t>El trabajo se realizó en el</w:t>
      </w:r>
      <w:r w:rsidRPr="004E7F31">
        <w:rPr>
          <w:rFonts w:cs="Arial"/>
        </w:rPr>
        <w:t>Laboratorio de Referencia para Investigaciones y Salud Apícola</w:t>
      </w:r>
      <w:r w:rsidRPr="004E7F31">
        <w:rPr>
          <w:rFonts w:eastAsia="Calibri" w:cs="Arial"/>
          <w:bCs/>
        </w:rPr>
        <w:t>, Sancti Spíritus, Cuba; la investigación tuvo como</w:t>
      </w:r>
      <w:r w:rsidRPr="004E7F31">
        <w:rPr>
          <w:rFonts w:cs="Arial"/>
        </w:rPr>
        <w:t xml:space="preserve"> objetivo la evaluación del crecimiento de </w:t>
      </w:r>
      <w:r w:rsidRPr="004E7F31">
        <w:rPr>
          <w:rFonts w:eastAsia="Calibri" w:cs="Arial"/>
        </w:rPr>
        <w:t>cepas de Lactobacillus sp aisladas de intestino de abejas en medios de cultivo alternativos, utilizando como indicadores indirectos de crecimiento bacteriano los cambios de pH y acidez de los medios</w:t>
      </w:r>
      <w:r w:rsidRPr="004E7F31">
        <w:rPr>
          <w:rFonts w:cs="Arial"/>
        </w:rPr>
        <w:t xml:space="preserve">. Los resultados de laboratorio mostraron que el medio a base de diferentes proporciones </w:t>
      </w:r>
      <w:r w:rsidRPr="004E7F31">
        <w:rPr>
          <w:rFonts w:eastAsia="Calibri" w:cs="Arial"/>
          <w:spacing w:val="-3"/>
        </w:rPr>
        <w:t>de suero lácteo y residual de la línea de ablandamiento del grano de soya (50, 75, 90 y 100 % v/v de residual líquido de soya-RLS), se influyó por la presencia de lactosa</w:t>
      </w:r>
      <w:r w:rsidRPr="004E7F31">
        <w:rPr>
          <w:rFonts w:cs="Arial"/>
        </w:rPr>
        <w:t xml:space="preserve">, expresado en la disminución del pH y la elevación de la acidez; siendo las proporciones más efectivas las de 50, 75 y 90 % </w:t>
      </w:r>
      <w:r w:rsidRPr="004E7F31">
        <w:rPr>
          <w:rFonts w:cs="Arial"/>
        </w:rPr>
        <w:lastRenderedPageBreak/>
        <w:t>(v/v), donde a las 12 h difieren los valores de los diferenciales de pH con los de la leche de soya</w:t>
      </w:r>
      <w:r w:rsidRPr="004E7F31">
        <w:rPr>
          <w:rFonts w:cs="Arial"/>
          <w:lang w:val="es-ES_tradnl"/>
        </w:rPr>
        <w:t xml:space="preserve"> (0.553, 0.500 y 0.470 vs 0.183), mientras que los valores de los diferenciales de % de acidez no difieren (7,  11.3 y 3 vs 14.7). Concluyendo que utilizando los cambios de acidez y pH como métodos indirectos de detección del crecimiento bacteriano las mezclas de suero lácteo y residual liquido de soya son alternativas locales de obtención de masa microbiana de cepas de </w:t>
      </w:r>
      <w:r w:rsidRPr="00FE4FD7">
        <w:rPr>
          <w:rFonts w:cs="Arial"/>
          <w:i/>
          <w:lang w:val="es-ES_tradnl"/>
        </w:rPr>
        <w:t>Lactobacillus</w:t>
      </w:r>
      <w:r w:rsidRPr="004E7F31">
        <w:rPr>
          <w:rFonts w:cs="Arial"/>
          <w:lang w:val="es-ES_tradnl"/>
        </w:rPr>
        <w:t xml:space="preserve"> sp.</w:t>
      </w:r>
    </w:p>
    <w:p w:rsidR="008D61AD" w:rsidRPr="004E7F31" w:rsidRDefault="008D61AD" w:rsidP="008D61AD">
      <w:pPr>
        <w:rPr>
          <w:rFonts w:cs="Arial"/>
          <w:b/>
          <w:lang w:val="es-US"/>
        </w:rPr>
      </w:pPr>
      <w:r w:rsidRPr="004E7F31">
        <w:rPr>
          <w:rFonts w:cs="Arial"/>
          <w:lang w:val="es-US"/>
        </w:rPr>
        <w:t xml:space="preserve">Palabras clave: </w:t>
      </w:r>
      <w:r w:rsidRPr="004E7F31">
        <w:rPr>
          <w:rFonts w:cs="Arial"/>
        </w:rPr>
        <w:t>Medio de Cultivo, Lactobacillus</w:t>
      </w:r>
      <w:r>
        <w:rPr>
          <w:rFonts w:cs="Arial"/>
        </w:rPr>
        <w:t>,</w:t>
      </w:r>
      <w:r w:rsidRPr="004E7F31">
        <w:rPr>
          <w:rFonts w:cs="Arial"/>
        </w:rPr>
        <w:t xml:space="preserve"> Soya</w:t>
      </w:r>
      <w:r>
        <w:rPr>
          <w:rFonts w:cs="Arial"/>
        </w:rPr>
        <w:t>,</w:t>
      </w:r>
      <w:r w:rsidRPr="004E7F31">
        <w:rPr>
          <w:rFonts w:cs="Arial"/>
        </w:rPr>
        <w:t xml:space="preserve"> Residual</w:t>
      </w:r>
      <w:r>
        <w:rPr>
          <w:rFonts w:cs="Arial"/>
        </w:rPr>
        <w:t>.</w:t>
      </w:r>
    </w:p>
    <w:p w:rsidR="008D61AD" w:rsidRPr="00B85700" w:rsidRDefault="008D61AD" w:rsidP="008D61AD">
      <w:pPr>
        <w:jc w:val="center"/>
        <w:rPr>
          <w:rFonts w:cs="Arial"/>
          <w:b/>
          <w:lang w:val="en-US"/>
        </w:rPr>
      </w:pPr>
      <w:r w:rsidRPr="00B85700">
        <w:rPr>
          <w:rFonts w:cs="Arial"/>
          <w:b/>
          <w:lang w:val="en-US"/>
        </w:rPr>
        <w:t>Abstract</w:t>
      </w:r>
    </w:p>
    <w:p w:rsidR="008D61AD" w:rsidRPr="00B85700" w:rsidRDefault="008D61AD" w:rsidP="008D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US"/>
        </w:rPr>
      </w:pPr>
      <w:r w:rsidRPr="00B85700">
        <w:rPr>
          <w:rFonts w:cs="Arial"/>
          <w:lang w:val="en-US"/>
        </w:rPr>
        <w:t xml:space="preserve">The work was carried in the Reference Laboratory for Bee Research and Health, Sancti Spíritus, Cuba; the research aimed at evaluating the growth of </w:t>
      </w:r>
      <w:r w:rsidRPr="00B85700">
        <w:rPr>
          <w:rFonts w:cs="Arial"/>
          <w:i/>
          <w:lang w:val="en-US"/>
        </w:rPr>
        <w:t>Lactobacillus</w:t>
      </w:r>
      <w:r w:rsidRPr="00B85700">
        <w:rPr>
          <w:rFonts w:cs="Arial"/>
          <w:lang w:val="en-US"/>
        </w:rPr>
        <w:t xml:space="preserve"> sp strains isolated from the intestine of bees in alternative culture media, using the changes in pH and acidity of the media as indirect indicators of bacterial growth. The laboratory results showed that the medium based on different proportions of whey and residual from the soybean softening line (50, 75, 90 and 100% v / v of liquid residual soybean-RLS), was influenced by the presence of lactose, expressed in the decrease in pH and the increase in acidity; the most effective proportions being those of 50, 75 and 90% (v / v), where at 12 h the differentials values ​​of the pH differ with those of soy milk (0.553, 0.500 and 0.470 </w:t>
      </w:r>
      <w:proofErr w:type="spellStart"/>
      <w:r w:rsidRPr="00B85700">
        <w:rPr>
          <w:rFonts w:cs="Arial"/>
          <w:lang w:val="en-US"/>
        </w:rPr>
        <w:t>vs</w:t>
      </w:r>
      <w:proofErr w:type="spellEnd"/>
      <w:r w:rsidRPr="00B85700">
        <w:rPr>
          <w:rFonts w:cs="Arial"/>
          <w:lang w:val="en-US"/>
        </w:rPr>
        <w:t xml:space="preserve"> 0.183), while that the values ​​of the% acidity differentials do not differ (7, 11.3 and 3 </w:t>
      </w:r>
      <w:proofErr w:type="spellStart"/>
      <w:r w:rsidRPr="00B85700">
        <w:rPr>
          <w:rFonts w:cs="Arial"/>
          <w:lang w:val="en-US"/>
        </w:rPr>
        <w:t>vs</w:t>
      </w:r>
      <w:proofErr w:type="spellEnd"/>
      <w:r w:rsidRPr="00B85700">
        <w:rPr>
          <w:rFonts w:cs="Arial"/>
          <w:lang w:val="en-US"/>
        </w:rPr>
        <w:t xml:space="preserve"> 14.7). Concluding that using acidity and pH changes as indirect methods for detecting bacterial growth, mixtures of milk serum and soy residual liquid are local alternatives for obtaining the microbial mass of strains of </w:t>
      </w:r>
      <w:r w:rsidRPr="00B85700">
        <w:rPr>
          <w:rFonts w:cs="Arial"/>
          <w:i/>
          <w:lang w:val="en-US"/>
        </w:rPr>
        <w:t>Lactobacillus</w:t>
      </w:r>
      <w:r w:rsidRPr="00B85700">
        <w:rPr>
          <w:rFonts w:cs="Arial"/>
          <w:lang w:val="en-US"/>
        </w:rPr>
        <w:t xml:space="preserve"> sp.</w:t>
      </w:r>
    </w:p>
    <w:p w:rsidR="008D61AD" w:rsidRPr="009F68C9" w:rsidRDefault="008D61AD" w:rsidP="008D6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en-GB"/>
        </w:rPr>
      </w:pPr>
      <w:r w:rsidRPr="00B85700">
        <w:rPr>
          <w:rFonts w:cs="Arial"/>
          <w:i/>
          <w:lang w:val="en-US"/>
        </w:rPr>
        <w:t>Keywords:</w:t>
      </w:r>
      <w:r w:rsidRPr="00B85700">
        <w:rPr>
          <w:rFonts w:cs="Arial"/>
          <w:lang w:val="en-US"/>
        </w:rPr>
        <w:t xml:space="preserve"> Culture Medium, Lactobacillus, Residual, Soy.</w:t>
      </w:r>
    </w:p>
    <w:p w:rsidR="008D61AD" w:rsidRPr="005035FB" w:rsidRDefault="008D61AD" w:rsidP="008D61AD">
      <w:pPr>
        <w:pStyle w:val="Prrafodelista"/>
        <w:numPr>
          <w:ilvl w:val="0"/>
          <w:numId w:val="25"/>
        </w:numPr>
        <w:spacing w:after="0" w:line="360" w:lineRule="auto"/>
        <w:jc w:val="both"/>
        <w:rPr>
          <w:rFonts w:ascii="Arial" w:hAnsi="Arial" w:cs="Arial"/>
          <w:b/>
          <w:sz w:val="24"/>
          <w:szCs w:val="24"/>
        </w:rPr>
      </w:pPr>
      <w:r w:rsidRPr="005035FB">
        <w:rPr>
          <w:rFonts w:ascii="Arial" w:hAnsi="Arial" w:cs="Arial"/>
          <w:b/>
          <w:sz w:val="24"/>
          <w:szCs w:val="24"/>
        </w:rPr>
        <w:t xml:space="preserve">Introducción  </w:t>
      </w:r>
      <w:r w:rsidRPr="005035FB">
        <w:rPr>
          <w:rFonts w:ascii="Arial" w:hAnsi="Arial" w:cs="Arial"/>
          <w:b/>
          <w:sz w:val="24"/>
          <w:szCs w:val="24"/>
        </w:rPr>
        <w:tab/>
      </w:r>
    </w:p>
    <w:p w:rsidR="008D61AD" w:rsidRPr="004E7F31" w:rsidRDefault="008D61AD" w:rsidP="008D61AD">
      <w:pPr>
        <w:rPr>
          <w:rFonts w:cs="Arial"/>
        </w:rPr>
      </w:pPr>
      <w:r w:rsidRPr="004E7F31">
        <w:rPr>
          <w:rFonts w:cs="Arial"/>
        </w:rPr>
        <w:t xml:space="preserve">En los últimos años se ha buscado alternativas para promover el crecimiento de los animales a través de una forma más segura, no sólo para el animal, sino también para preservar la salud humana como </w:t>
      </w:r>
      <w:r w:rsidRPr="004E7F31">
        <w:rPr>
          <w:rFonts w:cs="Arial"/>
          <w:lang w:eastAsia="es-AR"/>
        </w:rPr>
        <w:t xml:space="preserve">consecuencia de la </w:t>
      </w:r>
      <w:proofErr w:type="spellStart"/>
      <w:r w:rsidRPr="004E7F31">
        <w:rPr>
          <w:rFonts w:cs="Arial"/>
          <w:lang w:eastAsia="es-AR"/>
        </w:rPr>
        <w:t>antibioresistencia</w:t>
      </w:r>
      <w:proofErr w:type="spellEnd"/>
      <w:r w:rsidRPr="004E7F31">
        <w:rPr>
          <w:rFonts w:cs="Arial"/>
          <w:lang w:eastAsia="es-AR"/>
        </w:rPr>
        <w:t xml:space="preserve"> que generan su uso sistemático, </w:t>
      </w:r>
      <w:r w:rsidRPr="004E7F31">
        <w:rPr>
          <w:rFonts w:cs="Arial"/>
        </w:rPr>
        <w:t xml:space="preserve">este fenómeno favorece la  investigación de distintos productos entre  los  cuales destacan los agentes bioproductos (probióticos, prebióticos y simbióticos), catalogados como productos de origen natural, beneficiosos para la salud, con </w:t>
      </w:r>
      <w:r w:rsidRPr="004E7F31">
        <w:rPr>
          <w:rFonts w:cs="Arial"/>
        </w:rPr>
        <w:lastRenderedPageBreak/>
        <w:t xml:space="preserve">propiedades biológicas activas y con la capacidad preventiva y terapéutica </w:t>
      </w:r>
      <w:r w:rsidR="000C3851" w:rsidRPr="004E7F31">
        <w:rPr>
          <w:rFonts w:cs="Arial"/>
        </w:rPr>
        <w:fldChar w:fldCharType="begin"/>
      </w:r>
      <w:r w:rsidRPr="004E7F31">
        <w:rPr>
          <w:rFonts w:cs="Arial"/>
        </w:rPr>
        <w:instrText xml:space="preserve"> ADDIN EN.CITE &lt;EndNote&gt;&lt;Cite&gt;&lt;Author&gt;Arsène&lt;/Author&gt;&lt;Year&gt;2021&lt;/Year&gt;&lt;RecNum&gt;433&lt;/RecNum&gt;&lt;DisplayText&gt;(Arsène et al., 2021)&lt;/DisplayText&gt;&lt;record&gt;&lt;rec-number&gt;433&lt;/rec-number&gt;&lt;foreign-keys&gt;&lt;key app="EN" db-id="ze2d9dv22rpfwteexpaxpe0rzxsa0ertaz5p" timestamp="1631786828"&gt;433&lt;/key&gt;&lt;/foreign-keys&gt;&lt;ref-type name="Journal Article"&gt;17&lt;/ref-type&gt;&lt;contributors&gt;&lt;authors&gt;&lt;author&gt;Arsène, Mbarga MJ&lt;/author&gt;&lt;author&gt;Davares, Anyutoulou KL&lt;/author&gt;&lt;author&gt;Andreevna, Smolyakova L&lt;/author&gt;&lt;author&gt;Vladimirovich, Ermolaev A&lt;/author&gt;&lt;author&gt;Carime, Bassa Z&lt;/author&gt;&lt;author&gt;Marouf, Razan&lt;/author&gt;&lt;author&gt;Khelifi, Ibrahim&lt;/author&gt;&lt;/authors&gt;&lt;/contributors&gt;&lt;titles&gt;&lt;title&gt;The use of probiotics in animal feeding for safe production and as potential alternatives to antibiotics&lt;/title&gt;&lt;secondary-title&gt;Veterinary World&lt;/secondary-title&gt;&lt;/titles&gt;&lt;periodical&gt;&lt;full-title&gt;Veterinary world&lt;/full-title&gt;&lt;/periodical&gt;&lt;pages&gt;319&lt;/pages&gt;&lt;volume&gt;14&lt;/volume&gt;&lt;number&gt;2&lt;/number&gt;&lt;dates&gt;&lt;year&gt;2021&lt;/year&gt;&lt;/dates&gt;&lt;urls&gt;&lt;/urls&gt;&lt;/record&gt;&lt;/Cite&gt;&lt;/EndNote&gt;</w:instrText>
      </w:r>
      <w:r w:rsidR="000C3851" w:rsidRPr="004E7F31">
        <w:rPr>
          <w:rFonts w:cs="Arial"/>
        </w:rPr>
        <w:fldChar w:fldCharType="separate"/>
      </w:r>
      <w:r w:rsidRPr="004E7F31">
        <w:rPr>
          <w:rFonts w:cs="Arial"/>
          <w:noProof/>
        </w:rPr>
        <w:t xml:space="preserve">(Arsène </w:t>
      </w:r>
      <w:r w:rsidRPr="004E7F31">
        <w:rPr>
          <w:rFonts w:cs="Arial"/>
          <w:i/>
          <w:noProof/>
        </w:rPr>
        <w:t>et al.,</w:t>
      </w:r>
      <w:r w:rsidRPr="004E7F31">
        <w:rPr>
          <w:rFonts w:cs="Arial"/>
          <w:noProof/>
        </w:rPr>
        <w:t xml:space="preserve"> 2021)</w:t>
      </w:r>
      <w:r w:rsidR="000C3851" w:rsidRPr="004E7F31">
        <w:rPr>
          <w:rFonts w:cs="Arial"/>
        </w:rPr>
        <w:fldChar w:fldCharType="end"/>
      </w:r>
      <w:r w:rsidRPr="004E7F31">
        <w:rPr>
          <w:rFonts w:cs="Arial"/>
        </w:rPr>
        <w:t xml:space="preserve">. </w:t>
      </w:r>
    </w:p>
    <w:p w:rsidR="008D61AD" w:rsidRPr="004E7F31" w:rsidRDefault="008D61AD" w:rsidP="008D61AD">
      <w:pPr>
        <w:rPr>
          <w:rFonts w:cs="Arial"/>
        </w:rPr>
      </w:pPr>
      <w:r w:rsidRPr="004E7F31">
        <w:rPr>
          <w:rFonts w:cs="Arial"/>
        </w:rPr>
        <w:t xml:space="preserve">En los estudios con animales se utilizan microorganismos cultivados en el laboratorio o probióticos comerciales. En este sentido, los aspectos de mayor importancia son la selección adecuada de la cepa o cepas, el medio de cultivo y las condiciones fermentativas que permitan obtener un alto nivel de viabilidad durante el proceso </w:t>
      </w:r>
      <w:r w:rsidR="000C3851" w:rsidRPr="004E7F31">
        <w:rPr>
          <w:rFonts w:cs="Arial"/>
        </w:rPr>
        <w:fldChar w:fldCharType="begin"/>
      </w:r>
      <w:r w:rsidRPr="004E7F31">
        <w:rPr>
          <w:rFonts w:cs="Arial"/>
        </w:rPr>
        <w:instrText xml:space="preserve"> ADDIN EN.CITE &lt;EndNote&gt;&lt;Cite&gt;&lt;Author&gt;Marin-Cárdenas&lt;/Author&gt;&lt;Year&gt;2020&lt;/Year&gt;&lt;RecNum&gt;298&lt;/RecNum&gt;&lt;DisplayText&gt;(Marin-Cárdenas, Mbengue, Miranda-Yuquilema, &amp;amp; Artiles, 2020)&lt;/DisplayText&gt;&lt;record&gt;&lt;rec-number&gt;298&lt;/rec-number&gt;&lt;foreign-keys&gt;&lt;key app="EN" db-id="ze2d9dv22rpfwteexpaxpe0rzxsa0ertaz5p" timestamp="1606472532"&gt;298&lt;/key&gt;&lt;/foreign-keys&gt;&lt;ref-type name="Journal Article"&gt;17&lt;/ref-type&gt;&lt;contributors&gt;&lt;authors&gt;&lt;author&gt;Marin-Cárdenas, Alfredo&lt;/author&gt;&lt;author&gt;Mbengue, Coumba&lt;/author&gt;&lt;author&gt;Miranda-Yuquilema, José E&lt;/author&gt;&lt;author&gt;Artiles, Ernesto Noval&lt;/author&gt;&lt;/authors&gt;&lt;/contributors&gt;&lt;titles&gt;&lt;title&gt;Efecto de un biopreparado probiótico sobre el comportamiento productivo y la salud de ternero&lt;/title&gt;&lt;secondary-title&gt;Revista Ecuatoriana de Ciencia Animal&lt;/secondary-title&gt;&lt;/titles&gt;&lt;periodical&gt;&lt;full-title&gt;Revista Ecuatoriana de Ciencia Animal&lt;/full-title&gt;&lt;/periodical&gt;&lt;pages&gt;68-75&lt;/pages&gt;&lt;volume&gt;4&lt;/volume&gt;&lt;number&gt;1 Ene-Abr&lt;/number&gt;&lt;dates&gt;&lt;year&gt;2020&lt;/year&gt;&lt;/dates&gt;&lt;isbn&gt;2602-8220&lt;/isbn&gt;&lt;urls&gt;&lt;/urls&gt;&lt;/record&gt;&lt;/Cite&gt;&lt;/EndNote&gt;</w:instrText>
      </w:r>
      <w:r w:rsidR="000C3851" w:rsidRPr="004E7F31">
        <w:rPr>
          <w:rFonts w:cs="Arial"/>
        </w:rPr>
        <w:fldChar w:fldCharType="separate"/>
      </w:r>
      <w:r w:rsidRPr="004E7F31">
        <w:rPr>
          <w:rFonts w:cs="Arial"/>
          <w:noProof/>
        </w:rPr>
        <w:t xml:space="preserve">(Marin-Cárdenas </w:t>
      </w:r>
      <w:r w:rsidRPr="004E7F31">
        <w:rPr>
          <w:rFonts w:cs="Arial"/>
          <w:i/>
          <w:noProof/>
        </w:rPr>
        <w:t>et al.,</w:t>
      </w:r>
      <w:r w:rsidRPr="004E7F31">
        <w:rPr>
          <w:rFonts w:cs="Arial"/>
          <w:noProof/>
        </w:rPr>
        <w:t xml:space="preserve"> 2020)</w:t>
      </w:r>
      <w:r w:rsidR="000C3851" w:rsidRPr="004E7F31">
        <w:rPr>
          <w:rFonts w:cs="Arial"/>
        </w:rPr>
        <w:fldChar w:fldCharType="end"/>
      </w:r>
      <w:r w:rsidRPr="004E7F31">
        <w:rPr>
          <w:rFonts w:cs="Arial"/>
        </w:rPr>
        <w:t xml:space="preserve">. </w:t>
      </w:r>
    </w:p>
    <w:p w:rsidR="008D61AD" w:rsidRPr="004E7F31" w:rsidRDefault="008D61AD" w:rsidP="008D61AD">
      <w:pPr>
        <w:rPr>
          <w:rFonts w:cs="Arial"/>
        </w:rPr>
      </w:pPr>
      <w:r w:rsidRPr="004E7F31">
        <w:rPr>
          <w:rFonts w:cs="Arial"/>
        </w:rPr>
        <w:t xml:space="preserve">En Cuba, a escala industrial, no se producen los aditivos probióticos para animales a pesar de que varios grupos multidisciplinarios de investigación trabajan en esta temática y disponen de microorganismos con estas características </w:t>
      </w:r>
      <w:r w:rsidR="000C3851" w:rsidRPr="004E7F31">
        <w:rPr>
          <w:rFonts w:cs="Arial"/>
        </w:rPr>
        <w:fldChar w:fldCharType="begin"/>
      </w:r>
      <w:r w:rsidRPr="004E7F31">
        <w:rPr>
          <w:rFonts w:cs="Arial"/>
        </w:rPr>
        <w:instrText xml:space="preserve"> ADDIN EN.CITE &lt;EndNote&gt;&lt;Cite&gt;&lt;Author&gt;Cossio&lt;/Author&gt;&lt;Year&gt;2018&lt;/Year&gt;&lt;RecNum&gt;146&lt;/RecNum&gt;&lt;DisplayText&gt;(Cossio, Hernández, &amp;amp; Mendoza, 2018)&lt;/DisplayText&gt;&lt;record&gt;&lt;rec-number&gt;146&lt;/rec-number&gt;&lt;foreign-keys&gt;&lt;key app="EN" db-id="90arevp2p9ae2tezfzjva2x2ae9vrrsdff99" timestamp="1631786553"&gt;146&lt;/key&gt;&lt;/foreign-keys&gt;&lt;ref-type name="Journal Article"&gt;17&lt;/ref-type&gt;&lt;contributors&gt;&lt;authors&gt;&lt;author&gt;Cossio, Dailyn Sosa&lt;/author&gt;&lt;author&gt;Hernández, Yaneisy García&lt;/author&gt;&lt;author&gt;Mendoza, JD&lt;/author&gt;&lt;/authors&gt;&lt;/contributors&gt;&lt;titles&gt;&lt;title&gt;Development of probiotics for animal production Experiences in Cuba Desarrollo de probióticos destinados a la producción animal: experiencias en Cuba&lt;/title&gt;&lt;secondary-title&gt;Rev Ciencias Agrícolas&lt;/secondary-title&gt;&lt;/titles&gt;&lt;periodical&gt;&lt;full-title&gt;Rev Ciencias Agrícolas&lt;/full-title&gt;&lt;/periodical&gt;&lt;volume&gt;52&lt;/volume&gt;&lt;number&gt;4&lt;/number&gt;&lt;dates&gt;&lt;year&gt;2018&lt;/year&gt;&lt;/dates&gt;&lt;urls&gt;&lt;/urls&gt;&lt;/record&gt;&lt;/Cite&gt;&lt;/EndNote&gt;</w:instrText>
      </w:r>
      <w:r w:rsidR="000C3851" w:rsidRPr="004E7F31">
        <w:rPr>
          <w:rFonts w:cs="Arial"/>
        </w:rPr>
        <w:fldChar w:fldCharType="separate"/>
      </w:r>
      <w:r w:rsidRPr="004E7F31">
        <w:rPr>
          <w:rFonts w:cs="Arial"/>
          <w:noProof/>
        </w:rPr>
        <w:t>(Cossio et al., 2018)</w:t>
      </w:r>
      <w:r w:rsidR="000C3851" w:rsidRPr="004E7F31">
        <w:rPr>
          <w:rFonts w:cs="Arial"/>
        </w:rPr>
        <w:fldChar w:fldCharType="end"/>
      </w:r>
      <w:r w:rsidRPr="004E7F31">
        <w:rPr>
          <w:rFonts w:cs="Arial"/>
        </w:rPr>
        <w:t xml:space="preserve">. </w:t>
      </w:r>
    </w:p>
    <w:p w:rsidR="008D61AD" w:rsidRPr="004E7F31" w:rsidRDefault="008D61AD" w:rsidP="008D61AD">
      <w:pPr>
        <w:rPr>
          <w:rFonts w:cs="Arial"/>
        </w:rPr>
      </w:pPr>
      <w:r w:rsidRPr="004E7F31">
        <w:rPr>
          <w:rFonts w:cs="Arial"/>
        </w:rPr>
        <w:t xml:space="preserve">La selección de medios de cultivo adecuados y económicos para las pequeñas producciones y a escala industrial es un aspecto importante en la obtención de probióticos. </w:t>
      </w:r>
      <w:r w:rsidR="000C3851" w:rsidRPr="008D61AD">
        <w:rPr>
          <w:rFonts w:cs="Arial"/>
        </w:rPr>
        <w:fldChar w:fldCharType="begin"/>
      </w:r>
      <w:r w:rsidRPr="008D61AD">
        <w:rPr>
          <w:rFonts w:cs="Arial"/>
        </w:rPr>
        <w:instrText xml:space="preserve"> ADDIN EN.CITE &lt;EndNote&gt;&lt;Cite&gt;&lt;Author&gt;Santos&lt;/Author&gt;&lt;Year&gt;2016&lt;/Year&gt;&lt;RecNum&gt;277&lt;/RecNum&gt;&lt;DisplayText&gt;(Santos, 2016)&lt;/DisplayText&gt;&lt;record&gt;&lt;rec-number&gt;277&lt;/rec-number&gt;&lt;foreign-keys&gt;&lt;key app="EN" db-id="azaf22vd0vs004erdtlvrxtdpdp2as29dxar" timestamp="1631787497"&gt;277&lt;/key&gt;&lt;/foreign-keys&gt;&lt;ref-type name="Journal Article"&gt;17&lt;/ref-type&gt;&lt;contributors&gt;&lt;authors&gt;&lt;author&gt;Santos, M.&lt;/author&gt;&lt;/authors&gt;&lt;/contributors&gt;&lt;titles&gt;&lt;title&gt;Probiotic cell cultivation. &lt;/title&gt;&lt;secondary-title&gt;Advances in Probiotic Technology&lt;/secondary-title&gt;&lt;/titles&gt;&lt;periodical&gt;&lt;full-title&gt;Advances in Probiotic Technology&lt;/full-title&gt;&lt;/periodical&gt;&lt;volume&gt;45&lt;/volume&gt;&lt;dates&gt;&lt;year&gt;2016&lt;/year&gt;&lt;/dates&gt;&lt;urls&gt;&lt;/urls&gt;&lt;/record&gt;&lt;/Cite&gt;&lt;/EndNote&gt;</w:instrText>
      </w:r>
      <w:r w:rsidR="000C3851" w:rsidRPr="008D61AD">
        <w:rPr>
          <w:rFonts w:cs="Arial"/>
        </w:rPr>
        <w:fldChar w:fldCharType="separate"/>
      </w:r>
      <w:r w:rsidRPr="008D61AD">
        <w:rPr>
          <w:rFonts w:cs="Arial"/>
          <w:noProof/>
        </w:rPr>
        <w:t>Santos, (2016</w:t>
      </w:r>
      <w:r w:rsidR="000C3851" w:rsidRPr="008D61AD">
        <w:rPr>
          <w:rFonts w:cs="Arial"/>
        </w:rPr>
        <w:fldChar w:fldCharType="end"/>
      </w:r>
      <w:r w:rsidRPr="008D61AD">
        <w:rPr>
          <w:rFonts w:cs="Arial"/>
        </w:rPr>
        <w:t>)</w:t>
      </w:r>
      <w:r w:rsidRPr="004E7F31">
        <w:rPr>
          <w:rFonts w:cs="Arial"/>
        </w:rPr>
        <w:t xml:space="preserve">, consideran que un medio de cultivo apropiado debe tener péptidos como fuente de nitrógeno, azúcares como fuente de carbono, extracto de levadura como factor de crecimiento, magnesio y manganeso en concentraciones óptimas. Este mismo autor plantea: “cuando se elige un medio de cultivo alternativo, hay que considerar factores como los costos, la capacidad de producir gran número de células y el método de fermentación”. </w:t>
      </w:r>
    </w:p>
    <w:p w:rsidR="008D61AD" w:rsidRPr="004E7F31" w:rsidRDefault="008D61AD" w:rsidP="008D61AD">
      <w:pPr>
        <w:rPr>
          <w:rFonts w:cs="Arial"/>
        </w:rPr>
      </w:pPr>
      <w:r w:rsidRPr="004E7F31">
        <w:rPr>
          <w:rFonts w:eastAsia="Calibri" w:cs="Arial"/>
          <w:spacing w:val="-3"/>
        </w:rPr>
        <w:t xml:space="preserve">La generación de subproductos o residuos agroindustriales en las diferentes etapas de los procesos productivos, es actualmente una problemática a nivel mundial, debido a que en la mayoría de los casos no son procesados o dispuestos adecuadamente, situación que contribuye al proceso de contaminación ambiental </w:t>
      </w:r>
      <w:r w:rsidR="000C3851" w:rsidRPr="004E7F31">
        <w:rPr>
          <w:rFonts w:eastAsia="Calibri" w:cs="Arial"/>
          <w:spacing w:val="-3"/>
        </w:rPr>
        <w:fldChar w:fldCharType="begin"/>
      </w:r>
      <w:r w:rsidRPr="004E7F31">
        <w:rPr>
          <w:rFonts w:eastAsia="Calibri" w:cs="Arial"/>
          <w:spacing w:val="-3"/>
        </w:rPr>
        <w:instrText xml:space="preserve"> ADDIN EN.CITE &lt;EndNote&gt;&lt;Cite&gt;&lt;Author&gt;Saval&lt;/Author&gt;&lt;Year&gt;2012&lt;/Year&gt;&lt;RecNum&gt;33&lt;/RecNum&gt;&lt;DisplayText&gt;(Saval, 2012)&lt;/DisplayText&gt;&lt;record&gt;&lt;rec-number&gt;33&lt;/rec-number&gt;&lt;foreign-keys&gt;&lt;key app="EN" db-id="90arevp2p9ae2tezfzjva2x2ae9vrrsdff99" timestamp="1604336854"&gt;33&lt;/key&gt;&lt;/foreign-keys&gt;&lt;ref-type name="Journal Article"&gt;17&lt;/ref-type&gt;&lt;contributors&gt;&lt;authors&gt;&lt;author&gt;Saval, Susana&lt;/author&gt;&lt;/authors&gt;&lt;/contributors&gt;&lt;titles&gt;&lt;title&gt;Aprovechamiento de residuos agroindustriales: pasado, presente y futuro&lt;/title&gt;&lt;secondary-title&gt;BioTecnología&lt;/secondary-title&gt;&lt;/titles&gt;&lt;periodical&gt;&lt;full-title&gt;BioTecnología&lt;/full-title&gt;&lt;/periodical&gt;&lt;pages&gt;14-46&lt;/pages&gt;&lt;volume&gt;16&lt;/volume&gt;&lt;number&gt;2&lt;/number&gt;&lt;dates&gt;&lt;year&gt;2012&lt;/year&gt;&lt;/dates&gt;&lt;urls&gt;&lt;/urls&gt;&lt;/record&gt;&lt;/Cite&gt;&lt;/EndNote&gt;</w:instrText>
      </w:r>
      <w:r w:rsidR="000C3851" w:rsidRPr="004E7F31">
        <w:rPr>
          <w:rFonts w:eastAsia="Calibri" w:cs="Arial"/>
          <w:spacing w:val="-3"/>
        </w:rPr>
        <w:fldChar w:fldCharType="separate"/>
      </w:r>
      <w:r w:rsidRPr="004E7F31">
        <w:rPr>
          <w:rFonts w:eastAsia="Calibri" w:cs="Arial"/>
          <w:noProof/>
          <w:spacing w:val="-3"/>
        </w:rPr>
        <w:t>(Saval, 2012)</w:t>
      </w:r>
      <w:r w:rsidR="000C3851" w:rsidRPr="004E7F31">
        <w:rPr>
          <w:rFonts w:eastAsia="Calibri" w:cs="Arial"/>
          <w:spacing w:val="-3"/>
        </w:rPr>
        <w:fldChar w:fldCharType="end"/>
      </w:r>
      <w:r w:rsidRPr="004E7F31">
        <w:rPr>
          <w:rFonts w:eastAsia="Calibri" w:cs="Arial"/>
          <w:spacing w:val="-3"/>
        </w:rPr>
        <w:t xml:space="preserve">; sin embargo los mismos son  fuentes disponibles de nutrientes </w:t>
      </w:r>
      <w:r w:rsidR="000C3851" w:rsidRPr="004E7F31">
        <w:rPr>
          <w:rFonts w:eastAsia="Calibri" w:cs="Arial"/>
          <w:spacing w:val="-3"/>
        </w:rPr>
        <w:fldChar w:fldCharType="begin"/>
      </w:r>
      <w:r w:rsidRPr="004E7F31">
        <w:rPr>
          <w:rFonts w:eastAsia="Calibri" w:cs="Arial"/>
          <w:spacing w:val="-3"/>
        </w:rPr>
        <w:instrText xml:space="preserve"> ADDIN EN.CITE &lt;EndNote&gt;&lt;Cite&gt;&lt;Author&gt;Pérez-López&lt;/Author&gt;&lt;Year&gt;2017&lt;/Year&gt;&lt;RecNum&gt;62&lt;/RecNum&gt;&lt;DisplayText&gt;(Pérez-López, 2017)&lt;/DisplayText&gt;&lt;record&gt;&lt;rec-number&gt;62&lt;/rec-number&gt;&lt;foreign-keys&gt;&lt;key app="EN" db-id="90arevp2p9ae2tezfzjva2x2ae9vrrsdff99" timestamp="1604337349"&gt;62&lt;/key&gt;&lt;/foreign-keys&gt;&lt;ref-type name="Journal Article"&gt;17&lt;/ref-type&gt;&lt;contributors&gt;&lt;authors&gt;&lt;author&gt;Pérez-López, Elena&lt;/author&gt;&lt;/authors&gt;&lt;/contributors&gt;&lt;titles&gt;&lt;title&gt;Mejora de la funcionalidad de Okara de soja por tratamiento simultáneo con altas presiones hidrostáticas y enzimas alimentarias Improvement of the functionality soybean okara by simultaneous treatment with high hydrostatic pressure and food-grade enzymes&lt;/title&gt;&lt;/titles&gt;&lt;dates&gt;&lt;year&gt;2017&lt;/year&gt;&lt;/dates&gt;&lt;urls&gt;&lt;/urls&gt;&lt;/record&gt;&lt;/Cite&gt;&lt;/EndNote&gt;</w:instrText>
      </w:r>
      <w:r w:rsidR="000C3851" w:rsidRPr="004E7F31">
        <w:rPr>
          <w:rFonts w:eastAsia="Calibri" w:cs="Arial"/>
          <w:spacing w:val="-3"/>
        </w:rPr>
        <w:fldChar w:fldCharType="separate"/>
      </w:r>
      <w:r w:rsidRPr="004E7F31">
        <w:rPr>
          <w:rFonts w:eastAsia="Calibri" w:cs="Arial"/>
          <w:noProof/>
          <w:spacing w:val="-3"/>
        </w:rPr>
        <w:t>(Pérez-López, 2017)</w:t>
      </w:r>
      <w:r w:rsidR="000C3851" w:rsidRPr="004E7F31">
        <w:rPr>
          <w:rFonts w:eastAsia="Calibri" w:cs="Arial"/>
          <w:spacing w:val="-3"/>
        </w:rPr>
        <w:fldChar w:fldCharType="end"/>
      </w:r>
      <w:r w:rsidRPr="004E7F31">
        <w:rPr>
          <w:rFonts w:eastAsia="Calibri" w:cs="Arial"/>
          <w:spacing w:val="-3"/>
        </w:rPr>
        <w:t xml:space="preserve">, que se pueden emplear de forma eficiente como medios naturales para el crecimiento y desarrollo de los microorganismos con actividad </w:t>
      </w:r>
      <w:proofErr w:type="spellStart"/>
      <w:r w:rsidRPr="004E7F31">
        <w:rPr>
          <w:rFonts w:eastAsia="Calibri" w:cs="Arial"/>
          <w:spacing w:val="-3"/>
        </w:rPr>
        <w:t>probiótica</w:t>
      </w:r>
      <w:proofErr w:type="spellEnd"/>
      <w:r w:rsidR="000C3851" w:rsidRPr="008D61AD">
        <w:rPr>
          <w:rFonts w:eastAsia="Calibri" w:cs="Arial"/>
          <w:spacing w:val="-3"/>
        </w:rPr>
        <w:fldChar w:fldCharType="begin"/>
      </w:r>
      <w:r w:rsidRPr="008D61AD">
        <w:rPr>
          <w:rFonts w:eastAsia="Calibri" w:cs="Arial"/>
          <w:spacing w:val="-3"/>
        </w:rPr>
        <w:instrText xml:space="preserve"> ADDIN EN.CITE &lt;EndNote&gt;&lt;Cite&gt;&lt;Author&gt;Santos&lt;/Author&gt;&lt;Year&gt;2016&lt;/Year&gt;&lt;RecNum&gt;277&lt;/RecNum&gt;&lt;DisplayText&gt;(Santos, 2016)&lt;/DisplayText&gt;&lt;record&gt;&lt;rec-number&gt;277&lt;/rec-number&gt;&lt;foreign-keys&gt;&lt;key app="EN" db-id="azaf22vd0vs004erdtlvrxtdpdp2as29dxar" timestamp="1631787497"&gt;277&lt;/key&gt;&lt;/foreign-keys&gt;&lt;ref-type name="Journal Article"&gt;17&lt;/ref-type&gt;&lt;contributors&gt;&lt;authors&gt;&lt;author&gt;Santos, M.&lt;/author&gt;&lt;/authors&gt;&lt;/contributors&gt;&lt;titles&gt;&lt;title&gt;Probiotic cell cultivation. &lt;/title&gt;&lt;secondary-title&gt;Advances in Probiotic Technology&lt;/secondary-title&gt;&lt;/titles&gt;&lt;periodical&gt;&lt;full-title&gt;Advances in Probiotic Technology&lt;/full-title&gt;&lt;/periodical&gt;&lt;volume&gt;45&lt;/volume&gt;&lt;dates&gt;&lt;year&gt;2016&lt;/year&gt;&lt;/dates&gt;&lt;urls&gt;&lt;/urls&gt;&lt;/record&gt;&lt;/Cite&gt;&lt;/EndNote&gt;</w:instrText>
      </w:r>
      <w:r w:rsidR="000C3851" w:rsidRPr="008D61AD">
        <w:rPr>
          <w:rFonts w:eastAsia="Calibri" w:cs="Arial"/>
          <w:spacing w:val="-3"/>
        </w:rPr>
        <w:fldChar w:fldCharType="separate"/>
      </w:r>
      <w:r w:rsidRPr="008D61AD">
        <w:rPr>
          <w:rFonts w:eastAsia="Calibri" w:cs="Arial"/>
          <w:noProof/>
          <w:spacing w:val="-3"/>
        </w:rPr>
        <w:t>(Santos, 2016)</w:t>
      </w:r>
      <w:r w:rsidR="000C3851" w:rsidRPr="008D61AD">
        <w:rPr>
          <w:rFonts w:eastAsia="Calibri" w:cs="Arial"/>
          <w:spacing w:val="-3"/>
        </w:rPr>
        <w:fldChar w:fldCharType="end"/>
      </w:r>
      <w:r w:rsidRPr="008D61AD">
        <w:rPr>
          <w:rFonts w:cs="Arial"/>
        </w:rPr>
        <w:t>.</w:t>
      </w:r>
    </w:p>
    <w:p w:rsidR="008D61AD" w:rsidRPr="004E7F31" w:rsidRDefault="008D61AD" w:rsidP="008D61AD">
      <w:pPr>
        <w:keepNext/>
        <w:keepLines/>
        <w:outlineLvl w:val="1"/>
        <w:rPr>
          <w:rFonts w:eastAsia="Calibri" w:cs="Arial"/>
          <w:color w:val="4F81BD"/>
        </w:rPr>
      </w:pPr>
      <w:r w:rsidRPr="004E7F31">
        <w:rPr>
          <w:rFonts w:cs="Arial"/>
        </w:rPr>
        <w:t>El objetivo del trabajo fue comprobar el c</w:t>
      </w:r>
      <w:r w:rsidRPr="004E7F31">
        <w:rPr>
          <w:rFonts w:eastAsia="Calibri" w:cs="Arial"/>
        </w:rPr>
        <w:t xml:space="preserve">recimiento de cepas de </w:t>
      </w:r>
      <w:r w:rsidRPr="004E7F31">
        <w:rPr>
          <w:rFonts w:eastAsia="Calibri" w:cs="Arial"/>
          <w:i/>
        </w:rPr>
        <w:t>Lactobacillus</w:t>
      </w:r>
      <w:r w:rsidRPr="004E7F31">
        <w:rPr>
          <w:rFonts w:eastAsia="Calibri" w:cs="Arial"/>
        </w:rPr>
        <w:t xml:space="preserve"> sp aisladas de intestino de abejas en diferentes proporciones de suero lácteo y residual líquido del proceso del yogurt de soya como medios alternativos.</w:t>
      </w:r>
    </w:p>
    <w:p w:rsidR="008D61AD" w:rsidRPr="005035FB" w:rsidRDefault="008D61AD" w:rsidP="008D61AD">
      <w:pPr>
        <w:pStyle w:val="Prrafodelista"/>
        <w:numPr>
          <w:ilvl w:val="0"/>
          <w:numId w:val="25"/>
        </w:numPr>
        <w:spacing w:after="0" w:line="360" w:lineRule="auto"/>
        <w:jc w:val="both"/>
        <w:rPr>
          <w:rFonts w:ascii="Arial" w:hAnsi="Arial" w:cs="Arial"/>
          <w:b/>
          <w:sz w:val="24"/>
          <w:szCs w:val="24"/>
        </w:rPr>
      </w:pPr>
      <w:r w:rsidRPr="005035FB">
        <w:rPr>
          <w:rFonts w:ascii="Arial" w:hAnsi="Arial" w:cs="Arial"/>
          <w:b/>
          <w:sz w:val="24"/>
          <w:szCs w:val="24"/>
        </w:rPr>
        <w:t xml:space="preserve">Materiales y métodos </w:t>
      </w:r>
    </w:p>
    <w:p w:rsidR="008D61AD" w:rsidRDefault="008D61AD" w:rsidP="008D61AD">
      <w:pPr>
        <w:rPr>
          <w:rFonts w:cs="Arial"/>
        </w:rPr>
      </w:pPr>
      <w:r w:rsidRPr="005035FB">
        <w:rPr>
          <w:rFonts w:cs="Arial"/>
          <w:i/>
        </w:rPr>
        <w:lastRenderedPageBreak/>
        <w:t>2.1 Área de estudio.</w:t>
      </w:r>
    </w:p>
    <w:p w:rsidR="008D61AD" w:rsidRPr="004E7F31" w:rsidRDefault="008D61AD" w:rsidP="008D61AD">
      <w:pPr>
        <w:rPr>
          <w:rFonts w:cs="Arial"/>
        </w:rPr>
      </w:pPr>
      <w:r w:rsidRPr="004E7F31">
        <w:rPr>
          <w:rFonts w:cs="Arial"/>
        </w:rPr>
        <w:t>El trabajo experimental se realizará en el Laboratorio  de  Referencia  para  Investigaciones  y Salud Apícola (LARISA).</w:t>
      </w:r>
    </w:p>
    <w:p w:rsidR="008D61AD" w:rsidRPr="005035FB" w:rsidRDefault="008D61AD" w:rsidP="008D61AD">
      <w:pPr>
        <w:rPr>
          <w:rFonts w:cs="Arial"/>
          <w:i/>
        </w:rPr>
      </w:pPr>
      <w:r w:rsidRPr="005035FB">
        <w:rPr>
          <w:rFonts w:cs="Arial"/>
          <w:i/>
        </w:rPr>
        <w:t xml:space="preserve">2.2 Materia prima. </w:t>
      </w:r>
    </w:p>
    <w:p w:rsidR="008D61AD" w:rsidRPr="004E7F31" w:rsidRDefault="008D61AD" w:rsidP="008D61AD">
      <w:pPr>
        <w:rPr>
          <w:rFonts w:cs="Arial"/>
        </w:rPr>
      </w:pPr>
      <w:r w:rsidRPr="004E7F31">
        <w:rPr>
          <w:rFonts w:cs="Arial"/>
        </w:rPr>
        <w:t xml:space="preserve">Suero de queso Blanco. El suero lácteo fue obtenido en el área productiva de Queso Blanco, en la etapa de  desuere  de  la  masa,  el  mismo  se  recolectó  (500mL)  en  frascos  de  cristal estériles  de  1000  mL  y  refrigerado  hasta  su  utilización.  Al  suero  obtenido  se  le realizó los análisis establecidos por la Norma Cubana de queso Blanco (NC 78-17, 2003), valorándose la acidez. </w:t>
      </w:r>
    </w:p>
    <w:p w:rsidR="008D61AD" w:rsidRPr="004E7F31" w:rsidRDefault="008D61AD" w:rsidP="008D61AD">
      <w:pPr>
        <w:rPr>
          <w:rFonts w:cs="Arial"/>
        </w:rPr>
      </w:pPr>
      <w:r w:rsidRPr="004E7F31">
        <w:rPr>
          <w:rFonts w:cs="Arial"/>
        </w:rPr>
        <w:t xml:space="preserve">Residual de la línea de ablandamiento del grano de soya. La infusión de soya se recolectó del proceso de hidratación y ablandamiento del grano  de  soya  empleado  en  la  fabricación  de  </w:t>
      </w:r>
      <w:proofErr w:type="spellStart"/>
      <w:r w:rsidRPr="004E7F31">
        <w:rPr>
          <w:rFonts w:cs="Arial"/>
        </w:rPr>
        <w:t>Soyur</w:t>
      </w:r>
      <w:proofErr w:type="spellEnd"/>
      <w:r w:rsidRPr="004E7F31">
        <w:rPr>
          <w:rFonts w:cs="Arial"/>
        </w:rPr>
        <w:t xml:space="preserve">;  el  mismo  se  recolectó  en frascos de cristal estériles (500 mL) y se dejó enfriar a temperatura ambiente y se guardó en refrigeración hasta su utilización. A la infusión de soya se le determinó la acidez, tomando como referencia la Norma Cubana de leche Pasteurizada (NC-71: 2000). </w:t>
      </w:r>
    </w:p>
    <w:p w:rsidR="008D61AD" w:rsidRDefault="008D61AD" w:rsidP="008D61AD">
      <w:pPr>
        <w:rPr>
          <w:rFonts w:cs="Arial"/>
        </w:rPr>
      </w:pPr>
      <w:r>
        <w:rPr>
          <w:rFonts w:cs="Arial"/>
          <w:i/>
        </w:rPr>
        <w:t xml:space="preserve">2.3 </w:t>
      </w:r>
      <w:r w:rsidRPr="005035FB">
        <w:rPr>
          <w:rFonts w:cs="Arial"/>
          <w:i/>
        </w:rPr>
        <w:t>Preparación  del  medio  de  cultivo natural  (SQ+RLS).</w:t>
      </w:r>
    </w:p>
    <w:p w:rsidR="008D61AD" w:rsidRDefault="008D61AD" w:rsidP="008D61AD">
      <w:pPr>
        <w:rPr>
          <w:rFonts w:cs="Arial"/>
        </w:rPr>
      </w:pPr>
      <w:r w:rsidRPr="004E7F31">
        <w:rPr>
          <w:rFonts w:cs="Arial"/>
        </w:rPr>
        <w:t xml:space="preserve">Se utilizó  como sustrato una mezcla de  residual líquido de la línea de  ablandamiento del grano de soya (RLS)  y suero de Queso Blanco (SQ) tomando como proporción de partida 50 % (v/v) </w:t>
      </w:r>
      <w:r w:rsidR="000C3851" w:rsidRPr="004E7F31">
        <w:rPr>
          <w:rFonts w:cs="Arial"/>
        </w:rPr>
        <w:fldChar w:fldCharType="begin"/>
      </w:r>
      <w:r w:rsidRPr="004E7F31">
        <w:rPr>
          <w:rFonts w:cs="Arial"/>
        </w:rPr>
        <w:instrText xml:space="preserve"> ADDIN EN.CITE &lt;EndNote&gt;&lt;Cite&gt;&lt;Author&gt;Raya-Medina&lt;/Author&gt;&lt;Year&gt;2018&lt;/Year&gt;&lt;RecNum&gt;105&lt;/RecNum&gt;&lt;DisplayText&gt;(Raya-Medina, 2018)&lt;/DisplayText&gt;&lt;record&gt;&lt;rec-number&gt;105&lt;/rec-number&gt;&lt;foreign-keys&gt;&lt;key app="EN" db-id="90arevp2p9ae2tezfzjva2x2ae9vrrsdff99" timestamp="1604790642"&gt;105&lt;/key&gt;&lt;/foreign-keys&gt;&lt;ref-type name="Journal Article"&gt;17&lt;/ref-type&gt;&lt;contributors&gt;&lt;authors&gt;&lt;author&gt;Raya-Medina, R.&lt;/author&gt;&lt;/authors&gt;&lt;/contributors&gt;&lt;titles&gt;&lt;title&gt;Evaluación probiótica en terneros de un bioproducto desarrollados en residuos de la industria láctea (Trabajo de diploma).  &lt;/title&gt;&lt;secondary-title&gt;Departamento de Agronomía. Facultad de Ciencias Agropecuaria. Universidad de Sancti Spíritus, &amp;quot;José Martí Pérez&amp;quot;&lt;/secondary-title&gt;&lt;/titles&gt;&lt;periodical&gt;&lt;full-title&gt;Departamento de Agronomía. Facultad de Ciencias Agropecuaria. Universidad de Sancti Spíritus, &amp;quot;José Martí Pérez&amp;quot;&lt;/full-title&gt;&lt;/periodical&gt;&lt;dates&gt;&lt;year&gt;2018&lt;/year&gt;&lt;/dates&gt;&lt;urls&gt;&lt;/urls&gt;&lt;/record&gt;&lt;/Cite&gt;&lt;/EndNote&gt;</w:instrText>
      </w:r>
      <w:r w:rsidR="000C3851" w:rsidRPr="004E7F31">
        <w:rPr>
          <w:rFonts w:cs="Arial"/>
        </w:rPr>
        <w:fldChar w:fldCharType="separate"/>
      </w:r>
      <w:r w:rsidRPr="004E7F31">
        <w:rPr>
          <w:rFonts w:cs="Arial"/>
          <w:noProof/>
        </w:rPr>
        <w:t>(Raya-Medina, 2018)</w:t>
      </w:r>
      <w:r w:rsidR="000C3851" w:rsidRPr="004E7F31">
        <w:rPr>
          <w:rFonts w:cs="Arial"/>
        </w:rPr>
        <w:fldChar w:fldCharType="end"/>
      </w:r>
      <w:r w:rsidRPr="004E7F31">
        <w:rPr>
          <w:rFonts w:cs="Arial"/>
        </w:rPr>
        <w:t>. A partir de esta proporción se hicieron las diferentes combinaciones (Tabla 1).</w:t>
      </w:r>
    </w:p>
    <w:p w:rsidR="008D61AD" w:rsidRPr="004E7F31" w:rsidRDefault="008D61AD" w:rsidP="008D61AD">
      <w:pPr>
        <w:rPr>
          <w:rFonts w:cs="Arial"/>
        </w:rPr>
      </w:pPr>
      <w:r w:rsidRPr="004E7F31">
        <w:rPr>
          <w:rFonts w:cs="Arial"/>
        </w:rPr>
        <w:t>Tabla 1. Proporciones  de  cada  residual  utilizado  en  la  investigación (SQ+LRS).</w:t>
      </w:r>
    </w:p>
    <w:tbl>
      <w:tblPr>
        <w:tblW w:w="0" w:type="auto"/>
        <w:tblInd w:w="108" w:type="dxa"/>
        <w:tblLook w:val="04A0"/>
      </w:tblPr>
      <w:tblGrid>
        <w:gridCol w:w="1276"/>
        <w:gridCol w:w="1701"/>
        <w:gridCol w:w="1985"/>
        <w:gridCol w:w="2835"/>
      </w:tblGrid>
      <w:tr w:rsidR="008D61AD" w:rsidRPr="004E7F31" w:rsidTr="00A1180C">
        <w:tc>
          <w:tcPr>
            <w:tcW w:w="1276" w:type="dxa"/>
            <w:tcBorders>
              <w:top w:val="single" w:sz="4" w:space="0" w:color="auto"/>
              <w:bottom w:val="single" w:sz="4" w:space="0" w:color="auto"/>
            </w:tcBorders>
            <w:shd w:val="clear" w:color="auto" w:fill="auto"/>
          </w:tcPr>
          <w:p w:rsidR="008D61AD" w:rsidRPr="004E7F31" w:rsidRDefault="008D61AD" w:rsidP="00A1180C">
            <w:pPr>
              <w:rPr>
                <w:rFonts w:cs="Arial"/>
              </w:rPr>
            </w:pPr>
            <w:r w:rsidRPr="004E7F31">
              <w:rPr>
                <w:rFonts w:cs="Arial"/>
              </w:rPr>
              <w:t xml:space="preserve">Réplicas </w:t>
            </w:r>
          </w:p>
        </w:tc>
        <w:tc>
          <w:tcPr>
            <w:tcW w:w="1701" w:type="dxa"/>
            <w:tcBorders>
              <w:top w:val="single" w:sz="4" w:space="0" w:color="auto"/>
              <w:bottom w:val="single" w:sz="4" w:space="0" w:color="auto"/>
            </w:tcBorders>
            <w:shd w:val="clear" w:color="auto" w:fill="auto"/>
          </w:tcPr>
          <w:p w:rsidR="008D61AD" w:rsidRPr="004E7F31" w:rsidRDefault="008D61AD" w:rsidP="00A1180C">
            <w:pPr>
              <w:rPr>
                <w:rFonts w:cs="Arial"/>
              </w:rPr>
            </w:pPr>
            <w:r w:rsidRPr="004E7F31">
              <w:rPr>
                <w:rFonts w:cs="Arial"/>
              </w:rPr>
              <w:t>Proporciones</w:t>
            </w:r>
          </w:p>
        </w:tc>
        <w:tc>
          <w:tcPr>
            <w:tcW w:w="1985" w:type="dxa"/>
            <w:tcBorders>
              <w:top w:val="single" w:sz="4" w:space="0" w:color="auto"/>
              <w:bottom w:val="single" w:sz="4" w:space="0" w:color="auto"/>
            </w:tcBorders>
            <w:shd w:val="clear" w:color="auto" w:fill="auto"/>
          </w:tcPr>
          <w:p w:rsidR="008D61AD" w:rsidRPr="004E7F31" w:rsidRDefault="008D61AD" w:rsidP="00A1180C">
            <w:pPr>
              <w:rPr>
                <w:rFonts w:cs="Arial"/>
              </w:rPr>
            </w:pPr>
            <w:r w:rsidRPr="004E7F31">
              <w:rPr>
                <w:rFonts w:cs="Arial"/>
                <w:i/>
                <w:iCs/>
              </w:rPr>
              <w:t>Suero de queso blanco (SQ)</w:t>
            </w:r>
          </w:p>
        </w:tc>
        <w:tc>
          <w:tcPr>
            <w:tcW w:w="2835" w:type="dxa"/>
            <w:tcBorders>
              <w:top w:val="single" w:sz="4" w:space="0" w:color="auto"/>
              <w:bottom w:val="single" w:sz="4" w:space="0" w:color="auto"/>
            </w:tcBorders>
            <w:shd w:val="clear" w:color="auto" w:fill="auto"/>
          </w:tcPr>
          <w:p w:rsidR="008D61AD" w:rsidRPr="004E7F31" w:rsidRDefault="008D61AD" w:rsidP="00A1180C">
            <w:pPr>
              <w:rPr>
                <w:rFonts w:cs="Arial"/>
              </w:rPr>
            </w:pPr>
            <w:r w:rsidRPr="004E7F31">
              <w:rPr>
                <w:rFonts w:cs="Arial"/>
                <w:i/>
                <w:iCs/>
              </w:rPr>
              <w:t>Residual líquido de la línea de ablandamiento del grano de soya (RLS)</w:t>
            </w:r>
          </w:p>
        </w:tc>
      </w:tr>
      <w:tr w:rsidR="008D61AD" w:rsidRPr="004E7F31" w:rsidTr="00A1180C">
        <w:tc>
          <w:tcPr>
            <w:tcW w:w="1276" w:type="dxa"/>
            <w:tcBorders>
              <w:top w:val="single" w:sz="4" w:space="0" w:color="auto"/>
            </w:tcBorders>
            <w:shd w:val="clear" w:color="auto" w:fill="auto"/>
          </w:tcPr>
          <w:p w:rsidR="008D61AD" w:rsidRPr="004E7F31" w:rsidRDefault="00FE4FD7" w:rsidP="00A1180C">
            <w:pPr>
              <w:rPr>
                <w:rFonts w:cs="Arial"/>
              </w:rPr>
            </w:pPr>
            <w:r>
              <w:rPr>
                <w:rFonts w:cs="Arial"/>
              </w:rPr>
              <w:t>1</w:t>
            </w:r>
          </w:p>
        </w:tc>
        <w:tc>
          <w:tcPr>
            <w:tcW w:w="1701" w:type="dxa"/>
            <w:tcBorders>
              <w:top w:val="single" w:sz="4" w:space="0" w:color="auto"/>
            </w:tcBorders>
            <w:shd w:val="clear" w:color="auto" w:fill="auto"/>
          </w:tcPr>
          <w:p w:rsidR="008D61AD" w:rsidRPr="004E7F31" w:rsidRDefault="008D61AD" w:rsidP="00A1180C">
            <w:pPr>
              <w:rPr>
                <w:rFonts w:cs="Arial"/>
              </w:rPr>
            </w:pPr>
            <w:r w:rsidRPr="004E7F31">
              <w:rPr>
                <w:rFonts w:cs="Arial"/>
              </w:rPr>
              <w:t>50 % (v/v)</w:t>
            </w:r>
          </w:p>
        </w:tc>
        <w:tc>
          <w:tcPr>
            <w:tcW w:w="1985" w:type="dxa"/>
            <w:tcBorders>
              <w:top w:val="single" w:sz="4" w:space="0" w:color="auto"/>
            </w:tcBorders>
            <w:shd w:val="clear" w:color="auto" w:fill="auto"/>
          </w:tcPr>
          <w:p w:rsidR="008D61AD" w:rsidRPr="004E7F31" w:rsidRDefault="008D61AD" w:rsidP="00A1180C">
            <w:pPr>
              <w:rPr>
                <w:rFonts w:cs="Arial"/>
                <w:i/>
                <w:iCs/>
              </w:rPr>
            </w:pPr>
            <w:r w:rsidRPr="004E7F31">
              <w:rPr>
                <w:rFonts w:cs="Arial"/>
              </w:rPr>
              <w:t>250 mL</w:t>
            </w:r>
          </w:p>
        </w:tc>
        <w:tc>
          <w:tcPr>
            <w:tcW w:w="2835" w:type="dxa"/>
            <w:tcBorders>
              <w:top w:val="single" w:sz="4" w:space="0" w:color="auto"/>
            </w:tcBorders>
            <w:shd w:val="clear" w:color="auto" w:fill="auto"/>
          </w:tcPr>
          <w:p w:rsidR="008D61AD" w:rsidRPr="004E7F31" w:rsidRDefault="008D61AD" w:rsidP="00A1180C">
            <w:pPr>
              <w:rPr>
                <w:rFonts w:cs="Arial"/>
                <w:i/>
                <w:iCs/>
              </w:rPr>
            </w:pPr>
            <w:r w:rsidRPr="004E7F31">
              <w:rPr>
                <w:rFonts w:cs="Arial"/>
              </w:rPr>
              <w:t>250 mL</w:t>
            </w:r>
          </w:p>
        </w:tc>
      </w:tr>
      <w:tr w:rsidR="008D61AD" w:rsidRPr="004E7F31" w:rsidTr="00A1180C">
        <w:tc>
          <w:tcPr>
            <w:tcW w:w="1276" w:type="dxa"/>
            <w:shd w:val="clear" w:color="auto" w:fill="auto"/>
          </w:tcPr>
          <w:p w:rsidR="008D61AD" w:rsidRPr="004E7F31" w:rsidRDefault="00FE4FD7" w:rsidP="00A1180C">
            <w:pPr>
              <w:rPr>
                <w:rFonts w:cs="Arial"/>
              </w:rPr>
            </w:pPr>
            <w:r>
              <w:rPr>
                <w:rFonts w:cs="Arial"/>
              </w:rPr>
              <w:t>2</w:t>
            </w:r>
          </w:p>
        </w:tc>
        <w:tc>
          <w:tcPr>
            <w:tcW w:w="1701" w:type="dxa"/>
            <w:shd w:val="clear" w:color="auto" w:fill="auto"/>
          </w:tcPr>
          <w:p w:rsidR="008D61AD" w:rsidRPr="004E7F31" w:rsidRDefault="008D61AD" w:rsidP="00A1180C">
            <w:pPr>
              <w:rPr>
                <w:rFonts w:cs="Arial"/>
              </w:rPr>
            </w:pPr>
            <w:r w:rsidRPr="004E7F31">
              <w:rPr>
                <w:rFonts w:cs="Arial"/>
              </w:rPr>
              <w:t>75 % (v/v)</w:t>
            </w:r>
          </w:p>
        </w:tc>
        <w:tc>
          <w:tcPr>
            <w:tcW w:w="1985" w:type="dxa"/>
            <w:shd w:val="clear" w:color="auto" w:fill="auto"/>
          </w:tcPr>
          <w:p w:rsidR="008D61AD" w:rsidRPr="004E7F31" w:rsidRDefault="008D61AD" w:rsidP="00A1180C">
            <w:pPr>
              <w:rPr>
                <w:rFonts w:cs="Arial"/>
              </w:rPr>
            </w:pPr>
            <w:r w:rsidRPr="004E7F31">
              <w:rPr>
                <w:rFonts w:cs="Arial"/>
              </w:rPr>
              <w:t>125 mL</w:t>
            </w:r>
          </w:p>
        </w:tc>
        <w:tc>
          <w:tcPr>
            <w:tcW w:w="2835" w:type="dxa"/>
            <w:shd w:val="clear" w:color="auto" w:fill="auto"/>
          </w:tcPr>
          <w:p w:rsidR="008D61AD" w:rsidRPr="004E7F31" w:rsidRDefault="008D61AD" w:rsidP="00A1180C">
            <w:pPr>
              <w:rPr>
                <w:rFonts w:cs="Arial"/>
              </w:rPr>
            </w:pPr>
            <w:r w:rsidRPr="004E7F31">
              <w:rPr>
                <w:rFonts w:cs="Arial"/>
              </w:rPr>
              <w:t>375 mL</w:t>
            </w:r>
          </w:p>
        </w:tc>
      </w:tr>
      <w:tr w:rsidR="008D61AD" w:rsidRPr="004E7F31" w:rsidTr="00A1180C">
        <w:tc>
          <w:tcPr>
            <w:tcW w:w="1276" w:type="dxa"/>
            <w:shd w:val="clear" w:color="auto" w:fill="auto"/>
          </w:tcPr>
          <w:p w:rsidR="008D61AD" w:rsidRPr="004E7F31" w:rsidRDefault="00FE4FD7" w:rsidP="00A1180C">
            <w:pPr>
              <w:rPr>
                <w:rFonts w:cs="Arial"/>
              </w:rPr>
            </w:pPr>
            <w:r>
              <w:rPr>
                <w:rFonts w:cs="Arial"/>
              </w:rPr>
              <w:lastRenderedPageBreak/>
              <w:t>3</w:t>
            </w:r>
          </w:p>
        </w:tc>
        <w:tc>
          <w:tcPr>
            <w:tcW w:w="1701" w:type="dxa"/>
            <w:shd w:val="clear" w:color="auto" w:fill="auto"/>
          </w:tcPr>
          <w:p w:rsidR="008D61AD" w:rsidRPr="004E7F31" w:rsidRDefault="008D61AD" w:rsidP="00A1180C">
            <w:pPr>
              <w:rPr>
                <w:rFonts w:cs="Arial"/>
              </w:rPr>
            </w:pPr>
            <w:r w:rsidRPr="004E7F31">
              <w:rPr>
                <w:rFonts w:cs="Arial"/>
              </w:rPr>
              <w:t>90 % (v/v)</w:t>
            </w:r>
          </w:p>
        </w:tc>
        <w:tc>
          <w:tcPr>
            <w:tcW w:w="1985" w:type="dxa"/>
            <w:shd w:val="clear" w:color="auto" w:fill="auto"/>
          </w:tcPr>
          <w:p w:rsidR="008D61AD" w:rsidRPr="004E7F31" w:rsidRDefault="008D61AD" w:rsidP="00A1180C">
            <w:pPr>
              <w:rPr>
                <w:rFonts w:cs="Arial"/>
              </w:rPr>
            </w:pPr>
            <w:r w:rsidRPr="004E7F31">
              <w:rPr>
                <w:rFonts w:cs="Arial"/>
              </w:rPr>
              <w:t>50 mL</w:t>
            </w:r>
          </w:p>
        </w:tc>
        <w:tc>
          <w:tcPr>
            <w:tcW w:w="2835" w:type="dxa"/>
            <w:shd w:val="clear" w:color="auto" w:fill="auto"/>
          </w:tcPr>
          <w:p w:rsidR="008D61AD" w:rsidRPr="004E7F31" w:rsidRDefault="008D61AD" w:rsidP="00A1180C">
            <w:pPr>
              <w:rPr>
                <w:rFonts w:cs="Arial"/>
              </w:rPr>
            </w:pPr>
            <w:r w:rsidRPr="004E7F31">
              <w:rPr>
                <w:rFonts w:cs="Arial"/>
              </w:rPr>
              <w:t>450 mL</w:t>
            </w:r>
          </w:p>
        </w:tc>
      </w:tr>
      <w:tr w:rsidR="008D61AD" w:rsidRPr="004E7F31" w:rsidTr="00A1180C">
        <w:tc>
          <w:tcPr>
            <w:tcW w:w="1276" w:type="dxa"/>
            <w:shd w:val="clear" w:color="auto" w:fill="auto"/>
          </w:tcPr>
          <w:p w:rsidR="008D61AD" w:rsidRPr="004E7F31" w:rsidRDefault="00FE4FD7" w:rsidP="00A1180C">
            <w:pPr>
              <w:rPr>
                <w:rFonts w:cs="Arial"/>
              </w:rPr>
            </w:pPr>
            <w:r>
              <w:rPr>
                <w:rFonts w:cs="Arial"/>
              </w:rPr>
              <w:t>4</w:t>
            </w:r>
          </w:p>
        </w:tc>
        <w:tc>
          <w:tcPr>
            <w:tcW w:w="1701" w:type="dxa"/>
            <w:shd w:val="clear" w:color="auto" w:fill="auto"/>
          </w:tcPr>
          <w:p w:rsidR="008D61AD" w:rsidRPr="004E7F31" w:rsidRDefault="008D61AD" w:rsidP="00A1180C">
            <w:pPr>
              <w:rPr>
                <w:rFonts w:cs="Arial"/>
              </w:rPr>
            </w:pPr>
            <w:r w:rsidRPr="004E7F31">
              <w:rPr>
                <w:rFonts w:cs="Arial"/>
              </w:rPr>
              <w:t>100 %</w:t>
            </w:r>
          </w:p>
        </w:tc>
        <w:tc>
          <w:tcPr>
            <w:tcW w:w="1985" w:type="dxa"/>
            <w:shd w:val="clear" w:color="auto" w:fill="auto"/>
          </w:tcPr>
          <w:p w:rsidR="008D61AD" w:rsidRPr="004E7F31" w:rsidRDefault="008D61AD" w:rsidP="00A1180C">
            <w:pPr>
              <w:rPr>
                <w:rFonts w:cs="Arial"/>
              </w:rPr>
            </w:pPr>
            <w:r w:rsidRPr="004E7F31">
              <w:rPr>
                <w:rFonts w:cs="Arial"/>
              </w:rPr>
              <w:t>-</w:t>
            </w:r>
          </w:p>
        </w:tc>
        <w:tc>
          <w:tcPr>
            <w:tcW w:w="2835" w:type="dxa"/>
            <w:shd w:val="clear" w:color="auto" w:fill="auto"/>
          </w:tcPr>
          <w:p w:rsidR="008D61AD" w:rsidRPr="004E7F31" w:rsidRDefault="008D61AD" w:rsidP="00A1180C">
            <w:pPr>
              <w:rPr>
                <w:rFonts w:cs="Arial"/>
              </w:rPr>
            </w:pPr>
            <w:r w:rsidRPr="004E7F31">
              <w:rPr>
                <w:rFonts w:cs="Arial"/>
              </w:rPr>
              <w:t>500 mL</w:t>
            </w:r>
          </w:p>
        </w:tc>
      </w:tr>
      <w:tr w:rsidR="008D61AD" w:rsidRPr="004E7F31" w:rsidTr="00A1180C">
        <w:tc>
          <w:tcPr>
            <w:tcW w:w="1276" w:type="dxa"/>
            <w:tcBorders>
              <w:bottom w:val="single" w:sz="4" w:space="0" w:color="auto"/>
            </w:tcBorders>
            <w:shd w:val="clear" w:color="auto" w:fill="auto"/>
          </w:tcPr>
          <w:p w:rsidR="008D61AD" w:rsidRPr="004E7F31" w:rsidRDefault="00FE4FD7" w:rsidP="00A1180C">
            <w:pPr>
              <w:rPr>
                <w:rFonts w:cs="Arial"/>
              </w:rPr>
            </w:pPr>
            <w:r>
              <w:rPr>
                <w:rFonts w:cs="Arial"/>
              </w:rPr>
              <w:t>5</w:t>
            </w:r>
            <w:r w:rsidR="008D61AD" w:rsidRPr="004E7F31">
              <w:rPr>
                <w:rFonts w:cs="Arial"/>
              </w:rPr>
              <w:t xml:space="preserve"> Control</w:t>
            </w:r>
          </w:p>
        </w:tc>
        <w:tc>
          <w:tcPr>
            <w:tcW w:w="1701" w:type="dxa"/>
            <w:tcBorders>
              <w:bottom w:val="single" w:sz="4" w:space="0" w:color="auto"/>
            </w:tcBorders>
            <w:shd w:val="clear" w:color="auto" w:fill="auto"/>
          </w:tcPr>
          <w:p w:rsidR="008D61AD" w:rsidRPr="004E7F31" w:rsidRDefault="008D61AD" w:rsidP="00A1180C">
            <w:pPr>
              <w:rPr>
                <w:rFonts w:cs="Arial"/>
              </w:rPr>
            </w:pPr>
            <w:r w:rsidRPr="004E7F31">
              <w:rPr>
                <w:rFonts w:cs="Arial"/>
              </w:rPr>
              <w:t>Leche de Soya</w:t>
            </w:r>
          </w:p>
        </w:tc>
        <w:tc>
          <w:tcPr>
            <w:tcW w:w="1985" w:type="dxa"/>
            <w:tcBorders>
              <w:bottom w:val="single" w:sz="4" w:space="0" w:color="auto"/>
            </w:tcBorders>
            <w:shd w:val="clear" w:color="auto" w:fill="auto"/>
          </w:tcPr>
          <w:p w:rsidR="008D61AD" w:rsidRPr="004E7F31" w:rsidRDefault="008D61AD" w:rsidP="00A1180C">
            <w:pPr>
              <w:rPr>
                <w:rFonts w:cs="Arial"/>
              </w:rPr>
            </w:pPr>
          </w:p>
        </w:tc>
        <w:tc>
          <w:tcPr>
            <w:tcW w:w="2835" w:type="dxa"/>
            <w:tcBorders>
              <w:bottom w:val="single" w:sz="4" w:space="0" w:color="auto"/>
            </w:tcBorders>
            <w:shd w:val="clear" w:color="auto" w:fill="auto"/>
          </w:tcPr>
          <w:p w:rsidR="008D61AD" w:rsidRPr="004E7F31" w:rsidRDefault="008D61AD" w:rsidP="00A1180C">
            <w:pPr>
              <w:rPr>
                <w:rFonts w:cs="Arial"/>
              </w:rPr>
            </w:pPr>
          </w:p>
        </w:tc>
      </w:tr>
    </w:tbl>
    <w:p w:rsidR="008D61AD" w:rsidRDefault="008D61AD" w:rsidP="008D61AD">
      <w:pPr>
        <w:rPr>
          <w:rFonts w:cs="Arial"/>
        </w:rPr>
      </w:pPr>
      <w:r w:rsidRPr="004E7F31">
        <w:rPr>
          <w:rFonts w:cs="Arial"/>
        </w:rPr>
        <w:t xml:space="preserve">Las  combinaciones  se  trabajaron  en  5  réplicas,  agitando  durante  5  minutos  y sometida a un proceso de esterilización  a una temperatura de 120 </w:t>
      </w:r>
      <w:r w:rsidRPr="004E7F31">
        <w:rPr>
          <w:rFonts w:cs="Arial"/>
          <w:vertAlign w:val="superscript"/>
        </w:rPr>
        <w:t>0</w:t>
      </w:r>
      <w:r w:rsidRPr="004E7F31">
        <w:rPr>
          <w:rFonts w:cs="Arial"/>
        </w:rPr>
        <w:t>C  durante  15 min y 1  atmósfera.  (</w:t>
      </w:r>
      <w:proofErr w:type="spellStart"/>
      <w:r w:rsidRPr="004E7F31">
        <w:rPr>
          <w:rFonts w:cs="Arial"/>
        </w:rPr>
        <w:t>Sakura</w:t>
      </w:r>
      <w:proofErr w:type="spellEnd"/>
      <w:r w:rsidRPr="004E7F31">
        <w:rPr>
          <w:rFonts w:cs="Arial"/>
        </w:rPr>
        <w:t>, Rusia); una vez esterilizada la mezcla fue enfriada a una temperatura de 43°C hasta su inoculación.</w:t>
      </w:r>
    </w:p>
    <w:p w:rsidR="008D61AD" w:rsidRPr="005035FB" w:rsidRDefault="008D61AD" w:rsidP="008D61AD">
      <w:pPr>
        <w:pStyle w:val="Prrafodelista"/>
        <w:numPr>
          <w:ilvl w:val="1"/>
          <w:numId w:val="25"/>
        </w:numPr>
        <w:spacing w:after="0" w:line="360" w:lineRule="auto"/>
        <w:jc w:val="both"/>
        <w:rPr>
          <w:rFonts w:ascii="Arial" w:hAnsi="Arial" w:cs="Arial"/>
          <w:b/>
          <w:sz w:val="24"/>
          <w:szCs w:val="24"/>
        </w:rPr>
      </w:pPr>
      <w:r w:rsidRPr="005035FB">
        <w:rPr>
          <w:rFonts w:ascii="Arial" w:hAnsi="Arial" w:cs="Arial"/>
          <w:i/>
          <w:sz w:val="24"/>
          <w:szCs w:val="24"/>
        </w:rPr>
        <w:t>Selección de la cepa utilizada, inoculación y fermentación del sustrato.</w:t>
      </w:r>
    </w:p>
    <w:p w:rsidR="008D61AD" w:rsidRPr="005035FB" w:rsidRDefault="008D61AD" w:rsidP="008D61AD">
      <w:pPr>
        <w:rPr>
          <w:rFonts w:cs="Arial"/>
        </w:rPr>
      </w:pPr>
      <w:r w:rsidRPr="005035FB">
        <w:rPr>
          <w:rFonts w:cs="Arial"/>
        </w:rPr>
        <w:t xml:space="preserve">Se  emplearon  las  cepas  fermentativas  </w:t>
      </w:r>
      <w:r w:rsidRPr="005035FB">
        <w:rPr>
          <w:rFonts w:cs="Arial"/>
          <w:i/>
          <w:iCs/>
        </w:rPr>
        <w:t xml:space="preserve">Lactobacillus </w:t>
      </w:r>
      <w:r w:rsidRPr="005035FB">
        <w:rPr>
          <w:rFonts w:cs="Arial"/>
        </w:rPr>
        <w:t>SS70</w:t>
      </w:r>
      <w:r w:rsidRPr="005035FB">
        <w:rPr>
          <w:rFonts w:cs="Arial"/>
          <w:i/>
          <w:iCs/>
        </w:rPr>
        <w:t xml:space="preserve"> y Lactobacillus </w:t>
      </w:r>
      <w:r w:rsidRPr="005035FB">
        <w:rPr>
          <w:rFonts w:cs="Arial"/>
        </w:rPr>
        <w:t xml:space="preserve">SS73 pertenecientes  al  Banco  de  Microorganismos del Departamento de Veterinaria de la Universidad de Sancti </w:t>
      </w:r>
      <w:proofErr w:type="spellStart"/>
      <w:r w:rsidRPr="005035FB">
        <w:rPr>
          <w:rFonts w:cs="Arial"/>
        </w:rPr>
        <w:t>Spiritus</w:t>
      </w:r>
      <w:proofErr w:type="spellEnd"/>
      <w:r w:rsidRPr="005035FB">
        <w:rPr>
          <w:rFonts w:cs="Arial"/>
        </w:rPr>
        <w:t xml:space="preserve">, José Martí Pérez) (UNISS) y al LARISA. </w:t>
      </w:r>
    </w:p>
    <w:p w:rsidR="008D61AD" w:rsidRPr="004E7F31" w:rsidRDefault="008D61AD" w:rsidP="008D61AD">
      <w:pPr>
        <w:rPr>
          <w:rFonts w:cs="Arial"/>
        </w:rPr>
      </w:pPr>
      <w:r w:rsidRPr="004E7F31">
        <w:rPr>
          <w:rFonts w:cs="Arial"/>
        </w:rPr>
        <w:t>Posterior  a  la  esterilización  de  las  diferentes  proporciones  del  medio  natural (SQ+RLS)  se  dejó  enfriar,  atemperado  a  37°C,  una  vez  que  alcanzó  la temperatura  óptima  de  crecimiento  se  procedió  a  realizar  la  inoculación  con  la simbiosis de gérmenes  (</w:t>
      </w:r>
      <w:r w:rsidRPr="004E7F31">
        <w:rPr>
          <w:rFonts w:cs="Arial"/>
          <w:i/>
          <w:iCs/>
        </w:rPr>
        <w:t xml:space="preserve">Lactobacillus </w:t>
      </w:r>
      <w:r w:rsidRPr="004E7F31">
        <w:rPr>
          <w:rFonts w:cs="Arial"/>
        </w:rPr>
        <w:t>SS70</w:t>
      </w:r>
      <w:r w:rsidRPr="004E7F31">
        <w:rPr>
          <w:rFonts w:cs="Arial"/>
          <w:i/>
          <w:iCs/>
        </w:rPr>
        <w:t xml:space="preserve"> y Lactobacillus </w:t>
      </w:r>
      <w:r w:rsidRPr="004E7F31">
        <w:rPr>
          <w:rFonts w:cs="Arial"/>
        </w:rPr>
        <w:t xml:space="preserve">SS73) al 2,5 % v/v y se incubó a temperatura ambiente ºC (Tiempo 0) por 64 h. </w:t>
      </w:r>
    </w:p>
    <w:p w:rsidR="008D61AD" w:rsidRPr="004E7F31" w:rsidRDefault="008D61AD" w:rsidP="008D61AD">
      <w:pPr>
        <w:rPr>
          <w:rFonts w:cs="Arial"/>
        </w:rPr>
      </w:pPr>
      <w:r w:rsidRPr="004E7F31">
        <w:rPr>
          <w:rFonts w:cs="Arial"/>
        </w:rPr>
        <w:t>A  partir  del  tiempo  cero  (T0)  y  a  las  12h, 24h, 36h, 48h  y  60h  se  realizó  el  estudio  de crecimiento  bacteriano  en  el  tiempo  para  determinar  si  las  cepas  de  ensayo  (</w:t>
      </w:r>
      <w:r w:rsidRPr="004E7F31">
        <w:rPr>
          <w:rFonts w:cs="Arial"/>
          <w:i/>
          <w:iCs/>
        </w:rPr>
        <w:t xml:space="preserve">Lactobacillus </w:t>
      </w:r>
      <w:r w:rsidRPr="004E7F31">
        <w:rPr>
          <w:rFonts w:cs="Arial"/>
        </w:rPr>
        <w:t>SS70</w:t>
      </w:r>
      <w:r w:rsidRPr="004E7F31">
        <w:rPr>
          <w:rFonts w:cs="Arial"/>
          <w:i/>
          <w:iCs/>
        </w:rPr>
        <w:t xml:space="preserve"> y Lactobacillus </w:t>
      </w:r>
      <w:r w:rsidRPr="004E7F31">
        <w:rPr>
          <w:rFonts w:cs="Arial"/>
        </w:rPr>
        <w:t xml:space="preserve">SS73), se desarrollaron favorablemente en las diferentes proporciones del medio de cultivo natural (SQ+RLS). </w:t>
      </w:r>
    </w:p>
    <w:p w:rsidR="008D61AD" w:rsidRPr="005035FB" w:rsidRDefault="008D61AD" w:rsidP="008D61AD">
      <w:pPr>
        <w:pStyle w:val="Prrafodelista"/>
        <w:numPr>
          <w:ilvl w:val="1"/>
          <w:numId w:val="25"/>
        </w:numPr>
        <w:spacing w:after="0" w:line="360" w:lineRule="auto"/>
        <w:jc w:val="both"/>
        <w:rPr>
          <w:rFonts w:ascii="Arial" w:hAnsi="Arial" w:cs="Arial"/>
          <w:i/>
          <w:sz w:val="24"/>
          <w:szCs w:val="24"/>
        </w:rPr>
      </w:pPr>
      <w:r w:rsidRPr="005035FB">
        <w:rPr>
          <w:rFonts w:ascii="Arial" w:hAnsi="Arial" w:cs="Arial"/>
          <w:i/>
          <w:sz w:val="24"/>
          <w:szCs w:val="24"/>
        </w:rPr>
        <w:t xml:space="preserve">Análisis físico químico del bioproducto. </w:t>
      </w:r>
    </w:p>
    <w:p w:rsidR="008D61AD" w:rsidRPr="005035FB" w:rsidRDefault="008D61AD" w:rsidP="008D61AD">
      <w:pPr>
        <w:rPr>
          <w:rFonts w:cs="Arial"/>
        </w:rPr>
      </w:pPr>
      <w:r w:rsidRPr="005035FB">
        <w:rPr>
          <w:rFonts w:cs="Arial"/>
        </w:rPr>
        <w:t xml:space="preserve">A  las  muestras  de  cada  uno  de  las  réplicas  se  le  determinó  en  los  diferentes tiempos  (T0, 12h, 24h, 36h, 48h y 60h)  los siguientes indicadores: acidez </w:t>
      </w:r>
      <w:proofErr w:type="spellStart"/>
      <w:r w:rsidRPr="005035FB">
        <w:rPr>
          <w:rFonts w:cs="Arial"/>
        </w:rPr>
        <w:t>titulable</w:t>
      </w:r>
      <w:proofErr w:type="spellEnd"/>
      <w:r w:rsidRPr="005035FB">
        <w:rPr>
          <w:rFonts w:cs="Arial"/>
        </w:rPr>
        <w:t xml:space="preserve"> (%)  y pH </w:t>
      </w:r>
      <w:r w:rsidR="000C3851" w:rsidRPr="005035FB">
        <w:rPr>
          <w:rFonts w:cs="Arial"/>
        </w:rPr>
        <w:fldChar w:fldCharType="begin"/>
      </w:r>
      <w:r w:rsidRPr="005035FB">
        <w:rPr>
          <w:rFonts w:cs="Arial"/>
        </w:rPr>
        <w:instrText xml:space="preserve"> ADDIN EN.CITE &lt;EndNote&gt;&lt;Cite&gt;&lt;Author&gt;NRIAL-174&lt;/Author&gt;&lt;Year&gt;2008&lt;/Year&gt;&lt;RecNum&gt;148&lt;/RecNum&gt;&lt;DisplayText&gt;(NRIAL-173., 2001; NRIAL-174, 2008)&lt;/DisplayText&gt;&lt;record&gt;&lt;rec-number&gt;148&lt;/rec-number&gt;&lt;foreign-keys&gt;&lt;key app="EN" db-id="90arevp2p9ae2tezfzjva2x2ae9vrrsdff99" timestamp="1631788329"&gt;148&lt;/key&gt;&lt;/foreign-keys&gt;&lt;ref-type name="Journal Article"&gt;17&lt;/ref-type&gt;&lt;contributors&gt;&lt;authors&gt;&lt;author&gt;NRIAL-174&lt;/author&gt;&lt;/authors&gt;&lt;/contributors&gt;&lt;titles&gt;&lt;title&gt;Yogur de soya aromatizado requisitos de calidad. La Habana, Cuba&lt;/title&gt;&lt;/titles&gt;&lt;dates&gt;&lt;year&gt;2008&lt;/year&gt;&lt;/dates&gt;&lt;urls&gt;&lt;/urls&gt;&lt;/record&gt;&lt;/Cite&gt;&lt;Cite&gt;&lt;Author&gt;NRIAL-173.&lt;/Author&gt;&lt;Year&gt;2001&lt;/Year&gt;&lt;RecNum&gt;147&lt;/RecNum&gt;&lt;record&gt;&lt;rec-number&gt;147&lt;/rec-number&gt;&lt;foreign-keys&gt;&lt;key app="EN" db-id="90arevp2p9ae2tezfzjva2x2ae9vrrsdff99" timestamp="1631788270"&gt;147&lt;/key&gt;&lt;/foreign-keys&gt;&lt;ref-type name="Journal Article"&gt;17&lt;/ref-type&gt;&lt;contributors&gt;&lt;authors&gt;&lt;author&gt;NRIAL-173.&lt;/author&gt;&lt;/authors&gt;&lt;/contributors&gt;&lt;titles&gt;&lt;title&gt;Productos de soya métodos de ensayo. La Habana, Cuba.&lt;/title&gt;&lt;/titles&gt;&lt;dates&gt;&lt;year&gt;2001&lt;/year&gt;&lt;/dates&gt;&lt;urls&gt;&lt;/urls&gt;&lt;/record&gt;&lt;/Cite&gt;&lt;/EndNote&gt;</w:instrText>
      </w:r>
      <w:r w:rsidR="000C3851" w:rsidRPr="005035FB">
        <w:rPr>
          <w:rFonts w:cs="Arial"/>
        </w:rPr>
        <w:fldChar w:fldCharType="separate"/>
      </w:r>
      <w:r w:rsidRPr="005035FB">
        <w:rPr>
          <w:rFonts w:cs="Arial"/>
          <w:noProof/>
        </w:rPr>
        <w:t>(NRIAL-173., 2001; NRIAL-174, 2008)</w:t>
      </w:r>
      <w:r w:rsidR="000C3851" w:rsidRPr="005035FB">
        <w:rPr>
          <w:rFonts w:cs="Arial"/>
        </w:rPr>
        <w:fldChar w:fldCharType="end"/>
      </w:r>
      <w:r w:rsidRPr="005035FB">
        <w:rPr>
          <w:rFonts w:cs="Arial"/>
        </w:rPr>
        <w:t xml:space="preserve"> (NRIAL-173: 2001 y NRIAL 174: 2008);  los cuales son indicadores indirectos del crecimiento de la biomasa  microbiana. Para valorar indirectamente el incremento de crecimiento se consideró también los </w:t>
      </w:r>
      <w:r w:rsidRPr="005035FB">
        <w:rPr>
          <w:rFonts w:cs="Arial"/>
        </w:rPr>
        <w:lastRenderedPageBreak/>
        <w:t>diferenciales de acidez y de pH; donde Diferencial  pH/Acidez  = pH/Acidez del tiempo de Incubación (</w:t>
      </w:r>
      <w:proofErr w:type="spellStart"/>
      <w:r w:rsidRPr="005035FB">
        <w:rPr>
          <w:rFonts w:cs="Arial"/>
        </w:rPr>
        <w:t>Tn</w:t>
      </w:r>
      <w:proofErr w:type="spellEnd"/>
      <w:r w:rsidRPr="005035FB">
        <w:rPr>
          <w:rFonts w:cs="Arial"/>
        </w:rPr>
        <w:t>) – Tiempo inicial (</w:t>
      </w:r>
      <w:proofErr w:type="spellStart"/>
      <w:r w:rsidRPr="005035FB">
        <w:rPr>
          <w:rFonts w:cs="Arial"/>
        </w:rPr>
        <w:t>To</w:t>
      </w:r>
      <w:proofErr w:type="spellEnd"/>
      <w:r w:rsidRPr="005035FB">
        <w:rPr>
          <w:rFonts w:cs="Arial"/>
        </w:rPr>
        <w:t>).</w:t>
      </w:r>
    </w:p>
    <w:p w:rsidR="008D61AD" w:rsidRPr="005035FB" w:rsidRDefault="008D61AD" w:rsidP="008D61AD">
      <w:pPr>
        <w:pStyle w:val="Prrafodelista"/>
        <w:numPr>
          <w:ilvl w:val="0"/>
          <w:numId w:val="25"/>
        </w:numPr>
        <w:spacing w:after="0" w:line="360" w:lineRule="auto"/>
        <w:jc w:val="both"/>
        <w:rPr>
          <w:rFonts w:ascii="Arial" w:hAnsi="Arial" w:cs="Arial"/>
          <w:b/>
          <w:sz w:val="24"/>
          <w:szCs w:val="24"/>
        </w:rPr>
      </w:pPr>
      <w:r w:rsidRPr="005035FB">
        <w:rPr>
          <w:rFonts w:ascii="Arial" w:hAnsi="Arial" w:cs="Arial"/>
          <w:b/>
          <w:sz w:val="24"/>
          <w:szCs w:val="24"/>
        </w:rPr>
        <w:t>Resultados y discusión</w:t>
      </w:r>
    </w:p>
    <w:p w:rsidR="008D61AD" w:rsidRPr="004E7F31" w:rsidRDefault="008D61AD" w:rsidP="008D61AD">
      <w:pPr>
        <w:rPr>
          <w:rFonts w:cs="Arial"/>
        </w:rPr>
      </w:pPr>
      <w:r w:rsidRPr="004E7F31">
        <w:rPr>
          <w:rFonts w:cs="Arial"/>
        </w:rPr>
        <w:t xml:space="preserve">En  la  tabla  2  se  presentan  los  resultados  de  crecimiento  de  las  cepas  de  </w:t>
      </w:r>
      <w:r w:rsidRPr="004E7F31">
        <w:rPr>
          <w:rFonts w:cs="Arial"/>
          <w:i/>
          <w:iCs/>
        </w:rPr>
        <w:t xml:space="preserve">Lactobacillus </w:t>
      </w:r>
      <w:r w:rsidRPr="004E7F31">
        <w:rPr>
          <w:rFonts w:cs="Arial"/>
        </w:rPr>
        <w:t>SS70</w:t>
      </w:r>
      <w:r w:rsidRPr="004E7F31">
        <w:rPr>
          <w:rFonts w:cs="Arial"/>
          <w:i/>
          <w:iCs/>
        </w:rPr>
        <w:t xml:space="preserve"> y Lactobacillus </w:t>
      </w:r>
      <w:r w:rsidRPr="004E7F31">
        <w:rPr>
          <w:rFonts w:cs="Arial"/>
        </w:rPr>
        <w:t xml:space="preserve">SS73  en  cada  una  de  las  proporciones  de suero de queso blanco y residual líquido de la línea de ablandamiento del grano de soya (SQ+RLS); teniendo como referencia los valores de  acidez y pH (expresado en  %  de  ácido  láctico  y  valor  de  pH).  Se  reconoce  que  la  acidez  y  el  pH  son métodos  indirecto  que  se  pueden  utilizar  para  la  determinación  del  crecimiento bacteriano </w:t>
      </w:r>
      <w:r w:rsidR="000C3851" w:rsidRPr="004E7F31">
        <w:rPr>
          <w:rFonts w:cs="Arial"/>
        </w:rPr>
        <w:fldChar w:fldCharType="begin"/>
      </w:r>
      <w:r w:rsidRPr="004E7F31">
        <w:rPr>
          <w:rFonts w:cs="Arial"/>
        </w:rPr>
        <w:instrText xml:space="preserve"> ADDIN EN.CITE &lt;EndNote&gt;&lt;Cite&gt;&lt;Author&gt;Díaz&lt;/Author&gt;&lt;Year&gt;2019&lt;/Year&gt;&lt;RecNum&gt;13&lt;/RecNum&gt;&lt;DisplayText&gt;(Díaz, García, &amp;amp; Rizzo, 2019)&lt;/DisplayText&gt;&lt;record&gt;&lt;rec-number&gt;13&lt;/rec-number&gt;&lt;foreign-keys&gt;&lt;key app="EN" db-id="90arevp2p9ae2tezfzjva2x2ae9vrrsdff99" timestamp="1604336814"&gt;13&lt;/key&gt;&lt;/foreign-keys&gt;&lt;ref-type name="Journal Article"&gt;17&lt;/ref-type&gt;&lt;contributors&gt;&lt;authors&gt;&lt;author&gt;Díaz, José Rodríguez&lt;/author&gt;&lt;author&gt;García, Juan Hernández&lt;/author&gt;&lt;author&gt;Rizzo, Laureano&lt;/author&gt;&lt;/authors&gt;&lt;/contributors&gt;&lt;titles&gt;&lt;title&gt;Evaluación en Cuba de un medio de cultivo alternativo para recuento en placa de Lactobacillus spp&lt;/title&gt;&lt;secondary-title&gt;InfoCiencia&lt;/secondary-title&gt;&lt;/titles&gt;&lt;periodical&gt;&lt;full-title&gt;InfoCiencia&lt;/full-title&gt;&lt;/periodical&gt;&lt;pages&gt;24-35&lt;/pages&gt;&lt;volume&gt;23&lt;/volume&gt;&lt;number&gt;2&lt;/number&gt;&lt;dates&gt;&lt;year&gt;2019&lt;/year&gt;&lt;/dates&gt;&lt;urls&gt;&lt;/urls&gt;&lt;/record&gt;&lt;/Cite&gt;&lt;/EndNote&gt;</w:instrText>
      </w:r>
      <w:r w:rsidR="000C3851" w:rsidRPr="004E7F31">
        <w:rPr>
          <w:rFonts w:cs="Arial"/>
        </w:rPr>
        <w:fldChar w:fldCharType="separate"/>
      </w:r>
      <w:r w:rsidRPr="004E7F31">
        <w:rPr>
          <w:rFonts w:cs="Arial"/>
          <w:noProof/>
        </w:rPr>
        <w:t xml:space="preserve">(Díaz </w:t>
      </w:r>
      <w:r w:rsidRPr="004E7F31">
        <w:rPr>
          <w:rFonts w:cs="Arial"/>
          <w:i/>
          <w:noProof/>
        </w:rPr>
        <w:t>et al.,</w:t>
      </w:r>
      <w:r w:rsidRPr="004E7F31">
        <w:rPr>
          <w:rFonts w:cs="Arial"/>
          <w:noProof/>
        </w:rPr>
        <w:t xml:space="preserve"> 2019)</w:t>
      </w:r>
      <w:r w:rsidR="000C3851" w:rsidRPr="004E7F31">
        <w:rPr>
          <w:rFonts w:cs="Arial"/>
        </w:rPr>
        <w:fldChar w:fldCharType="end"/>
      </w:r>
      <w:r w:rsidRPr="004E7F31">
        <w:rPr>
          <w:rFonts w:cs="Arial"/>
        </w:rPr>
        <w:t xml:space="preserve">,  cuando  se  pretende  optimizar  el  medio  de  cultivo  se  debe  tener  en cuenta  que  la  actividad  microbiana  no  solo  se  afecta  por  los  componentes  del medio  y  sus  concentraciones,  sino  también  por  las  interacciones  entre estos </w:t>
      </w:r>
      <w:r w:rsidR="000C3851" w:rsidRPr="004E7F31">
        <w:rPr>
          <w:rFonts w:cs="Arial"/>
        </w:rPr>
        <w:fldChar w:fldCharType="begin"/>
      </w:r>
      <w:r w:rsidRPr="004E7F31">
        <w:rPr>
          <w:rFonts w:cs="Arial"/>
        </w:rPr>
        <w:instrText xml:space="preserve"> ADDIN EN.CITE &lt;EndNote&gt;&lt;Cite&gt;&lt;Author&gt;Cossio&lt;/Author&gt;&lt;Year&gt;2018&lt;/Year&gt;&lt;RecNum&gt;146&lt;/RecNum&gt;&lt;DisplayText&gt;(Cossio et al., 2018)&lt;/DisplayText&gt;&lt;record&gt;&lt;rec-number&gt;146&lt;/rec-number&gt;&lt;foreign-keys&gt;&lt;key app="EN" db-id="90arevp2p9ae2tezfzjva2x2ae9vrrsdff99" timestamp="1631786553"&gt;146&lt;/key&gt;&lt;/foreign-keys&gt;&lt;ref-type name="Journal Article"&gt;17&lt;/ref-type&gt;&lt;contributors&gt;&lt;authors&gt;&lt;author&gt;Cossio, Dailyn Sosa&lt;/author&gt;&lt;author&gt;Hernández, Yaneisy García&lt;/author&gt;&lt;author&gt;Mendoza, JD&lt;/author&gt;&lt;/authors&gt;&lt;/contributors&gt;&lt;titles&gt;&lt;title&gt;Development of probiotics for animal production Experiences in Cuba Desarrollo de probióticos destinados a la producción animal: experiencias en Cuba&lt;/title&gt;&lt;secondary-title&gt;Rev Ciencias Agrícolas&lt;/secondary-title&gt;&lt;/titles&gt;&lt;periodical&gt;&lt;full-title&gt;Rev Ciencias Agrícolas&lt;/full-title&gt;&lt;/periodical&gt;&lt;volume&gt;52&lt;/volume&gt;&lt;number&gt;4&lt;/number&gt;&lt;dates&gt;&lt;year&gt;2018&lt;/year&gt;&lt;/dates&gt;&lt;urls&gt;&lt;/urls&gt;&lt;/record&gt;&lt;/Cite&gt;&lt;/EndNote&gt;</w:instrText>
      </w:r>
      <w:r w:rsidR="000C3851" w:rsidRPr="004E7F31">
        <w:rPr>
          <w:rFonts w:cs="Arial"/>
        </w:rPr>
        <w:fldChar w:fldCharType="separate"/>
      </w:r>
      <w:r w:rsidRPr="004E7F31">
        <w:rPr>
          <w:rFonts w:cs="Arial"/>
          <w:noProof/>
        </w:rPr>
        <w:t xml:space="preserve">(Cossio </w:t>
      </w:r>
      <w:r w:rsidRPr="004E7F31">
        <w:rPr>
          <w:rFonts w:cs="Arial"/>
          <w:i/>
          <w:noProof/>
        </w:rPr>
        <w:t>et al.,</w:t>
      </w:r>
      <w:r w:rsidRPr="004E7F31">
        <w:rPr>
          <w:rFonts w:cs="Arial"/>
          <w:noProof/>
        </w:rPr>
        <w:t xml:space="preserve"> 2018)</w:t>
      </w:r>
      <w:r w:rsidR="000C3851" w:rsidRPr="004E7F31">
        <w:rPr>
          <w:rFonts w:cs="Arial"/>
        </w:rPr>
        <w:fldChar w:fldCharType="end"/>
      </w:r>
      <w:r w:rsidRPr="004E7F31">
        <w:rPr>
          <w:rFonts w:cs="Arial"/>
        </w:rPr>
        <w:t>.</w:t>
      </w:r>
    </w:p>
    <w:p w:rsidR="008D61AD" w:rsidRDefault="008D61AD" w:rsidP="008D61AD">
      <w:pPr>
        <w:rPr>
          <w:rFonts w:cs="Arial"/>
        </w:rPr>
      </w:pPr>
      <w:r w:rsidRPr="004E7F31">
        <w:rPr>
          <w:rFonts w:cs="Arial"/>
        </w:rPr>
        <w:t xml:space="preserve">Del procesamiento estadístico de los datos de las diferentes  proporciones utilizadas  resultó que la acidez </w:t>
      </w:r>
      <w:r>
        <w:rPr>
          <w:rFonts w:cs="Arial"/>
        </w:rPr>
        <w:t xml:space="preserve">(Tabla 2) </w:t>
      </w:r>
      <w:r w:rsidRPr="004E7F31">
        <w:rPr>
          <w:rFonts w:cs="Arial"/>
        </w:rPr>
        <w:t>al tener como patrón la leche de soya no difieren con la</w:t>
      </w:r>
      <w:r>
        <w:rPr>
          <w:rFonts w:cs="Arial"/>
        </w:rPr>
        <w:t>s</w:t>
      </w:r>
      <w:r w:rsidRPr="004E7F31">
        <w:rPr>
          <w:rFonts w:cs="Arial"/>
        </w:rPr>
        <w:t xml:space="preserve"> siguientes proporciones, T0 50%, T12 50 y 75%, T48 50%  y el pH (Tabla </w:t>
      </w:r>
      <w:r>
        <w:rPr>
          <w:rFonts w:cs="Arial"/>
        </w:rPr>
        <w:t>3</w:t>
      </w:r>
      <w:r w:rsidRPr="004E7F31">
        <w:rPr>
          <w:rFonts w:cs="Arial"/>
        </w:rPr>
        <w:t>)</w:t>
      </w:r>
      <w:r>
        <w:rPr>
          <w:rFonts w:cs="Arial"/>
        </w:rPr>
        <w:t>,</w:t>
      </w:r>
      <w:r w:rsidRPr="004E7F31">
        <w:rPr>
          <w:rFonts w:cs="Arial"/>
        </w:rPr>
        <w:t xml:space="preserve"> solo no difiere de la proporción al 100% en las lecturas de 48 y 60 h, no obstante reflejan a las 60h los valores máximos la concentración del 50 % (v/v) con 128.6 % de ácido láctico, aunque solo existe diferencia significativa (p &lt; 0.</w:t>
      </w:r>
      <w:r w:rsidRPr="004E7F31">
        <w:rPr>
          <w:rFonts w:eastAsia="Calibri" w:cs="Arial"/>
        </w:rPr>
        <w:t xml:space="preserve">05) </w:t>
      </w:r>
      <w:r w:rsidRPr="004E7F31">
        <w:rPr>
          <w:rFonts w:cs="Arial"/>
        </w:rPr>
        <w:t>cuando se usa el 100% de RLS (24.7 %); el pH  más bajo fue en la proporción de 75 % con 3.73, el cual difiere significativamente (p &lt; 0.</w:t>
      </w:r>
      <w:r w:rsidRPr="004E7F31">
        <w:rPr>
          <w:rFonts w:eastAsia="Calibri" w:cs="Arial"/>
        </w:rPr>
        <w:t xml:space="preserve">05) </w:t>
      </w:r>
      <w:r w:rsidRPr="004E7F31">
        <w:rPr>
          <w:rFonts w:cs="Arial"/>
        </w:rPr>
        <w:t xml:space="preserve">de las siguientes proporciones y la leche de soya. </w:t>
      </w:r>
    </w:p>
    <w:p w:rsidR="008D61AD" w:rsidRPr="004E7F31" w:rsidRDefault="008D61AD" w:rsidP="00431C3A">
      <w:pPr>
        <w:spacing w:before="0" w:after="0"/>
        <w:rPr>
          <w:rFonts w:cs="Arial"/>
        </w:rPr>
      </w:pPr>
      <w:r w:rsidRPr="004E7F31">
        <w:rPr>
          <w:rFonts w:cs="Arial"/>
        </w:rPr>
        <w:t>Tabla 2. Comportamiento  de  la  acidez  a  los  diferentes  tiempos  y proporciones.</w:t>
      </w:r>
    </w:p>
    <w:tbl>
      <w:tblPr>
        <w:tblW w:w="8971" w:type="dxa"/>
        <w:tblInd w:w="250" w:type="dxa"/>
        <w:tblCellMar>
          <w:left w:w="0" w:type="dxa"/>
          <w:right w:w="0" w:type="dxa"/>
        </w:tblCellMar>
        <w:tblLook w:val="04A0"/>
      </w:tblPr>
      <w:tblGrid>
        <w:gridCol w:w="1591"/>
        <w:gridCol w:w="1031"/>
        <w:gridCol w:w="1210"/>
        <w:gridCol w:w="1279"/>
        <w:gridCol w:w="1279"/>
        <w:gridCol w:w="1279"/>
        <w:gridCol w:w="1302"/>
      </w:tblGrid>
      <w:tr w:rsidR="008D61AD" w:rsidRPr="004E7F31" w:rsidTr="00A1180C">
        <w:trPr>
          <w:trHeight w:val="538"/>
        </w:trPr>
        <w:tc>
          <w:tcPr>
            <w:tcW w:w="1591" w:type="dxa"/>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Trata</w:t>
            </w:r>
          </w:p>
          <w:p w:rsidR="008D61AD" w:rsidRPr="004E7F31" w:rsidRDefault="008D61AD" w:rsidP="00431C3A">
            <w:pPr>
              <w:spacing w:before="0" w:after="0"/>
              <w:rPr>
                <w:rFonts w:cs="Arial"/>
              </w:rPr>
            </w:pPr>
            <w:r w:rsidRPr="004E7F31">
              <w:rPr>
                <w:rFonts w:cs="Arial"/>
                <w:lang w:val="es-ES_tradnl"/>
              </w:rPr>
              <w:t xml:space="preserve">miento </w:t>
            </w:r>
          </w:p>
        </w:tc>
        <w:tc>
          <w:tcPr>
            <w:tcW w:w="7380" w:type="dxa"/>
            <w:gridSpan w:val="6"/>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Medias de lecturas de Acidez</w:t>
            </w:r>
          </w:p>
        </w:tc>
      </w:tr>
      <w:tr w:rsidR="008D61AD" w:rsidRPr="004E7F31" w:rsidTr="00A1180C">
        <w:trPr>
          <w:trHeight w:val="215"/>
        </w:trPr>
        <w:tc>
          <w:tcPr>
            <w:tcW w:w="1591"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i/>
                <w:iCs/>
                <w:lang w:val="es-ES_tradnl"/>
              </w:rPr>
              <w:t>SQ</w:t>
            </w:r>
            <w:r w:rsidRPr="004E7F31">
              <w:rPr>
                <w:rFonts w:cs="Arial"/>
                <w:lang w:val="es-ES_tradnl"/>
              </w:rPr>
              <w:t xml:space="preserve"> +</w:t>
            </w:r>
            <w:r w:rsidRPr="004E7F31">
              <w:rPr>
                <w:rFonts w:cs="Arial"/>
              </w:rPr>
              <w:t xml:space="preserve"> RLS</w:t>
            </w:r>
          </w:p>
        </w:tc>
        <w:tc>
          <w:tcPr>
            <w:tcW w:w="1031"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T-0</w:t>
            </w:r>
          </w:p>
        </w:tc>
        <w:tc>
          <w:tcPr>
            <w:tcW w:w="1210"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T-12</w:t>
            </w:r>
          </w:p>
        </w:tc>
        <w:tc>
          <w:tcPr>
            <w:tcW w:w="127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T-24</w:t>
            </w:r>
          </w:p>
        </w:tc>
        <w:tc>
          <w:tcPr>
            <w:tcW w:w="127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T-36</w:t>
            </w:r>
          </w:p>
        </w:tc>
        <w:tc>
          <w:tcPr>
            <w:tcW w:w="127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T-48</w:t>
            </w:r>
          </w:p>
        </w:tc>
        <w:tc>
          <w:tcPr>
            <w:tcW w:w="1302"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T-60</w:t>
            </w:r>
          </w:p>
        </w:tc>
      </w:tr>
      <w:tr w:rsidR="008D61AD" w:rsidRPr="004E7F31" w:rsidTr="00A1180C">
        <w:trPr>
          <w:trHeight w:val="605"/>
        </w:trPr>
        <w:tc>
          <w:tcPr>
            <w:tcW w:w="159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1- </w:t>
            </w:r>
            <w:r w:rsidRPr="004E7F31">
              <w:rPr>
                <w:rFonts w:cs="Arial"/>
              </w:rPr>
              <w:t xml:space="preserve">50 % </w:t>
            </w:r>
          </w:p>
        </w:tc>
        <w:tc>
          <w:tcPr>
            <w:tcW w:w="103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27,2</w:t>
            </w:r>
            <w:r w:rsidRPr="004E7F31">
              <w:rPr>
                <w:rFonts w:cs="Arial"/>
                <w:vertAlign w:val="superscript"/>
                <w:lang w:val="es-ES_tradnl"/>
              </w:rPr>
              <w:t xml:space="preserve">a  </w:t>
            </w:r>
            <w:r w:rsidRPr="004E7F31">
              <w:rPr>
                <w:rFonts w:cs="Arial"/>
              </w:rPr>
              <w:t>±0.25</w:t>
            </w:r>
          </w:p>
        </w:tc>
        <w:tc>
          <w:tcPr>
            <w:tcW w:w="121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34,7</w:t>
            </w:r>
            <w:r w:rsidRPr="004E7F31">
              <w:rPr>
                <w:rFonts w:cs="Arial"/>
                <w:vertAlign w:val="superscript"/>
                <w:lang w:val="es-ES_tradnl"/>
              </w:rPr>
              <w:t xml:space="preserve">b </w:t>
            </w:r>
            <w:r w:rsidRPr="004E7F31">
              <w:rPr>
                <w:rFonts w:cs="Arial"/>
              </w:rPr>
              <w:t>±0.05</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49,0</w:t>
            </w:r>
            <w:r w:rsidRPr="004E7F31">
              <w:rPr>
                <w:rFonts w:cs="Arial"/>
                <w:vertAlign w:val="superscript"/>
                <w:lang w:val="es-ES_tradnl"/>
              </w:rPr>
              <w:t xml:space="preserve">b </w:t>
            </w:r>
            <w:r w:rsidRPr="004E7F31">
              <w:rPr>
                <w:rFonts w:cs="Arial"/>
              </w:rPr>
              <w:t>±0.46</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70,3</w:t>
            </w:r>
            <w:r w:rsidRPr="004E7F31">
              <w:rPr>
                <w:rFonts w:cs="Arial"/>
                <w:vertAlign w:val="superscript"/>
                <w:lang w:val="es-ES_tradnl"/>
              </w:rPr>
              <w:t xml:space="preserve">b </w:t>
            </w:r>
            <w:r w:rsidRPr="004E7F31">
              <w:rPr>
                <w:rFonts w:cs="Arial"/>
              </w:rPr>
              <w:t>±0.47</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95,3</w:t>
            </w:r>
            <w:r w:rsidRPr="004E7F31">
              <w:rPr>
                <w:rFonts w:cs="Arial"/>
                <w:vertAlign w:val="superscript"/>
                <w:lang w:val="es-ES_tradnl"/>
              </w:rPr>
              <w:t xml:space="preserve">c </w:t>
            </w:r>
            <w:r w:rsidRPr="004E7F31">
              <w:rPr>
                <w:rFonts w:cs="Arial"/>
              </w:rPr>
              <w:t>±0.015</w:t>
            </w:r>
          </w:p>
        </w:tc>
        <w:tc>
          <w:tcPr>
            <w:tcW w:w="130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128,6</w:t>
            </w:r>
            <w:r w:rsidRPr="004E7F31">
              <w:rPr>
                <w:rFonts w:cs="Arial"/>
                <w:vertAlign w:val="superscript"/>
                <w:lang w:val="es-ES_tradnl"/>
              </w:rPr>
              <w:t xml:space="preserve">b </w:t>
            </w:r>
            <w:r w:rsidRPr="004E7F31">
              <w:rPr>
                <w:rFonts w:cs="Arial"/>
              </w:rPr>
              <w:t>±0.055</w:t>
            </w:r>
          </w:p>
        </w:tc>
      </w:tr>
      <w:tr w:rsidR="008D61AD" w:rsidRPr="004E7F31" w:rsidTr="00A1180C">
        <w:trPr>
          <w:trHeight w:val="588"/>
        </w:trPr>
        <w:tc>
          <w:tcPr>
            <w:tcW w:w="159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2- </w:t>
            </w:r>
            <w:r w:rsidRPr="004E7F31">
              <w:rPr>
                <w:rFonts w:cs="Arial"/>
              </w:rPr>
              <w:t xml:space="preserve">75 % </w:t>
            </w:r>
          </w:p>
        </w:tc>
        <w:tc>
          <w:tcPr>
            <w:tcW w:w="103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19,6</w:t>
            </w:r>
            <w:r w:rsidRPr="004E7F31">
              <w:rPr>
                <w:rFonts w:cs="Arial"/>
                <w:vertAlign w:val="superscript"/>
                <w:lang w:val="es-ES_tradnl"/>
              </w:rPr>
              <w:t xml:space="preserve">b </w:t>
            </w:r>
            <w:r w:rsidRPr="004E7F31">
              <w:rPr>
                <w:rFonts w:cs="Arial"/>
              </w:rPr>
              <w:t>±0.05</w:t>
            </w:r>
          </w:p>
        </w:tc>
        <w:tc>
          <w:tcPr>
            <w:tcW w:w="121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31,0</w:t>
            </w:r>
            <w:r w:rsidRPr="004E7F31">
              <w:rPr>
                <w:rFonts w:cs="Arial"/>
                <w:vertAlign w:val="superscript"/>
                <w:lang w:val="es-ES_tradnl"/>
              </w:rPr>
              <w:t xml:space="preserve">b </w:t>
            </w:r>
            <w:r w:rsidRPr="004E7F31">
              <w:rPr>
                <w:rFonts w:cs="Arial"/>
              </w:rPr>
              <w:t>±0.10</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42,3</w:t>
            </w:r>
            <w:r w:rsidRPr="004E7F31">
              <w:rPr>
                <w:rFonts w:cs="Arial"/>
                <w:vertAlign w:val="superscript"/>
                <w:lang w:val="es-ES_tradnl"/>
              </w:rPr>
              <w:t xml:space="preserve">b </w:t>
            </w:r>
            <w:r w:rsidRPr="004E7F31">
              <w:rPr>
                <w:rFonts w:cs="Arial"/>
              </w:rPr>
              <w:t>±0.21</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63,7</w:t>
            </w:r>
            <w:r w:rsidRPr="004E7F31">
              <w:rPr>
                <w:rFonts w:cs="Arial"/>
                <w:vertAlign w:val="superscript"/>
                <w:lang w:val="es-ES_tradnl"/>
              </w:rPr>
              <w:t xml:space="preserve">b </w:t>
            </w:r>
            <w:r w:rsidRPr="004E7F31">
              <w:rPr>
                <w:rFonts w:cs="Arial"/>
              </w:rPr>
              <w:t>±0.25</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78,7</w:t>
            </w:r>
            <w:r w:rsidRPr="004E7F31">
              <w:rPr>
                <w:rFonts w:cs="Arial"/>
                <w:vertAlign w:val="superscript"/>
                <w:lang w:val="es-ES_tradnl"/>
              </w:rPr>
              <w:t xml:space="preserve">b </w:t>
            </w:r>
            <w:r w:rsidRPr="004E7F31">
              <w:rPr>
                <w:rFonts w:cs="Arial"/>
              </w:rPr>
              <w:t>±0.080</w:t>
            </w:r>
          </w:p>
        </w:tc>
        <w:tc>
          <w:tcPr>
            <w:tcW w:w="130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96,7</w:t>
            </w:r>
            <w:r w:rsidRPr="004E7F31">
              <w:rPr>
                <w:rFonts w:cs="Arial"/>
                <w:vertAlign w:val="superscript"/>
                <w:lang w:val="es-ES_tradnl"/>
              </w:rPr>
              <w:t xml:space="preserve">b </w:t>
            </w:r>
            <w:r w:rsidRPr="004E7F31">
              <w:rPr>
                <w:rFonts w:cs="Arial"/>
              </w:rPr>
              <w:t>±0.431</w:t>
            </w:r>
          </w:p>
        </w:tc>
      </w:tr>
      <w:tr w:rsidR="008D61AD" w:rsidRPr="004E7F31" w:rsidTr="00A1180C">
        <w:trPr>
          <w:trHeight w:val="445"/>
        </w:trPr>
        <w:tc>
          <w:tcPr>
            <w:tcW w:w="159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lastRenderedPageBreak/>
              <w:t xml:space="preserve">3- </w:t>
            </w:r>
            <w:r w:rsidRPr="004E7F31">
              <w:rPr>
                <w:rFonts w:cs="Arial"/>
              </w:rPr>
              <w:t xml:space="preserve">90 % </w:t>
            </w:r>
          </w:p>
        </w:tc>
        <w:tc>
          <w:tcPr>
            <w:tcW w:w="103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16,0</w:t>
            </w:r>
            <w:r w:rsidRPr="004E7F31">
              <w:rPr>
                <w:rFonts w:cs="Arial"/>
                <w:vertAlign w:val="superscript"/>
                <w:lang w:val="es-ES_tradnl"/>
              </w:rPr>
              <w:t xml:space="preserve">b </w:t>
            </w:r>
            <w:r w:rsidRPr="004E7F31">
              <w:rPr>
                <w:rFonts w:cs="Arial"/>
              </w:rPr>
              <w:t>±0.10</w:t>
            </w:r>
          </w:p>
        </w:tc>
        <w:tc>
          <w:tcPr>
            <w:tcW w:w="121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19,0</w:t>
            </w:r>
            <w:r w:rsidRPr="004E7F31">
              <w:rPr>
                <w:rFonts w:cs="Arial"/>
                <w:vertAlign w:val="superscript"/>
                <w:lang w:val="es-ES_tradnl"/>
              </w:rPr>
              <w:t xml:space="preserve">a </w:t>
            </w:r>
            <w:r w:rsidRPr="004E7F31">
              <w:rPr>
                <w:rFonts w:cs="Arial"/>
              </w:rPr>
              <w:t>±0.26</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44,3</w:t>
            </w:r>
            <w:r w:rsidRPr="004E7F31">
              <w:rPr>
                <w:rFonts w:cs="Arial"/>
                <w:vertAlign w:val="superscript"/>
                <w:lang w:val="es-ES_tradnl"/>
              </w:rPr>
              <w:t xml:space="preserve">b </w:t>
            </w:r>
            <w:r w:rsidRPr="004E7F31">
              <w:rPr>
                <w:rFonts w:cs="Arial"/>
              </w:rPr>
              <w:t>±0.49</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68,3</w:t>
            </w:r>
            <w:r w:rsidRPr="004E7F31">
              <w:rPr>
                <w:rFonts w:cs="Arial"/>
                <w:vertAlign w:val="superscript"/>
                <w:lang w:val="es-ES_tradnl"/>
              </w:rPr>
              <w:t xml:space="preserve">b </w:t>
            </w:r>
            <w:r w:rsidRPr="004E7F31">
              <w:rPr>
                <w:rFonts w:cs="Arial"/>
              </w:rPr>
              <w:t>±0.05</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74,0</w:t>
            </w:r>
            <w:r w:rsidRPr="004E7F31">
              <w:rPr>
                <w:rFonts w:cs="Arial"/>
                <w:vertAlign w:val="superscript"/>
                <w:lang w:val="es-ES_tradnl"/>
              </w:rPr>
              <w:t xml:space="preserve">b </w:t>
            </w:r>
            <w:r w:rsidRPr="004E7F31">
              <w:rPr>
                <w:rFonts w:cs="Arial"/>
              </w:rPr>
              <w:t>±0.036</w:t>
            </w:r>
          </w:p>
        </w:tc>
        <w:tc>
          <w:tcPr>
            <w:tcW w:w="130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81,7</w:t>
            </w:r>
            <w:r w:rsidRPr="004E7F31">
              <w:rPr>
                <w:rFonts w:cs="Arial"/>
                <w:vertAlign w:val="superscript"/>
                <w:lang w:val="es-ES_tradnl"/>
              </w:rPr>
              <w:t xml:space="preserve">b </w:t>
            </w:r>
            <w:r w:rsidRPr="004E7F31">
              <w:rPr>
                <w:rFonts w:cs="Arial"/>
              </w:rPr>
              <w:t>±0.030</w:t>
            </w:r>
          </w:p>
        </w:tc>
      </w:tr>
      <w:tr w:rsidR="008D61AD" w:rsidRPr="004E7F31" w:rsidTr="00A1180C">
        <w:trPr>
          <w:trHeight w:val="712"/>
        </w:trPr>
        <w:tc>
          <w:tcPr>
            <w:tcW w:w="159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w:t>
            </w:r>
            <w:r w:rsidRPr="004E7F31">
              <w:rPr>
                <w:rFonts w:cs="Arial"/>
              </w:rPr>
              <w:t>100 %</w:t>
            </w:r>
          </w:p>
        </w:tc>
        <w:tc>
          <w:tcPr>
            <w:tcW w:w="103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10,7</w:t>
            </w:r>
            <w:r w:rsidRPr="004E7F31">
              <w:rPr>
                <w:rFonts w:cs="Arial"/>
                <w:vertAlign w:val="superscript"/>
                <w:lang w:val="es-ES_tradnl"/>
              </w:rPr>
              <w:t xml:space="preserve">c </w:t>
            </w:r>
            <w:r w:rsidRPr="004E7F31">
              <w:rPr>
                <w:rFonts w:cs="Arial"/>
              </w:rPr>
              <w:t>±0.11</w:t>
            </w:r>
          </w:p>
        </w:tc>
        <w:tc>
          <w:tcPr>
            <w:tcW w:w="121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14,6</w:t>
            </w:r>
            <w:r w:rsidRPr="004E7F31">
              <w:rPr>
                <w:rFonts w:cs="Arial"/>
                <w:vertAlign w:val="superscript"/>
                <w:lang w:val="es-ES_tradnl"/>
              </w:rPr>
              <w:t xml:space="preserve">a </w:t>
            </w:r>
            <w:r w:rsidRPr="004E7F31">
              <w:rPr>
                <w:rFonts w:cs="Arial"/>
              </w:rPr>
              <w:t>±0.05</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17,7</w:t>
            </w:r>
            <w:r w:rsidRPr="004E7F31">
              <w:rPr>
                <w:rFonts w:cs="Arial"/>
                <w:vertAlign w:val="superscript"/>
                <w:lang w:val="es-ES_tradnl"/>
              </w:rPr>
              <w:t xml:space="preserve">a </w:t>
            </w:r>
            <w:r w:rsidRPr="004E7F31">
              <w:rPr>
                <w:rFonts w:cs="Arial"/>
              </w:rPr>
              <w:t>±0.21</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19,0</w:t>
            </w:r>
            <w:r w:rsidRPr="004E7F31">
              <w:rPr>
                <w:rFonts w:cs="Arial"/>
                <w:vertAlign w:val="superscript"/>
                <w:lang w:val="es-ES_tradnl"/>
              </w:rPr>
              <w:t xml:space="preserve">a </w:t>
            </w:r>
            <w:r w:rsidRPr="004E7F31">
              <w:rPr>
                <w:rFonts w:cs="Arial"/>
              </w:rPr>
              <w:t>±0.26</w:t>
            </w:r>
          </w:p>
        </w:tc>
        <w:tc>
          <w:tcPr>
            <w:tcW w:w="127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23,3</w:t>
            </w:r>
            <w:r w:rsidRPr="004E7F31">
              <w:rPr>
                <w:rFonts w:cs="Arial"/>
                <w:vertAlign w:val="superscript"/>
                <w:lang w:val="es-ES_tradnl"/>
              </w:rPr>
              <w:t xml:space="preserve">a </w:t>
            </w:r>
            <w:r w:rsidRPr="004E7F31">
              <w:rPr>
                <w:rFonts w:cs="Arial"/>
              </w:rPr>
              <w:t>±0.021</w:t>
            </w:r>
          </w:p>
        </w:tc>
        <w:tc>
          <w:tcPr>
            <w:tcW w:w="130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24,7</w:t>
            </w:r>
            <w:r w:rsidRPr="004E7F31">
              <w:rPr>
                <w:rFonts w:cs="Arial"/>
                <w:vertAlign w:val="superscript"/>
                <w:lang w:val="es-ES_tradnl"/>
              </w:rPr>
              <w:t xml:space="preserve">a </w:t>
            </w:r>
            <w:r w:rsidRPr="004E7F31">
              <w:rPr>
                <w:rFonts w:cs="Arial"/>
              </w:rPr>
              <w:t>±0.015</w:t>
            </w:r>
          </w:p>
        </w:tc>
      </w:tr>
      <w:tr w:rsidR="008D61AD" w:rsidRPr="004E7F31" w:rsidTr="00A1180C">
        <w:trPr>
          <w:trHeight w:val="413"/>
        </w:trPr>
        <w:tc>
          <w:tcPr>
            <w:tcW w:w="1591"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 LS</w:t>
            </w:r>
          </w:p>
        </w:tc>
        <w:tc>
          <w:tcPr>
            <w:tcW w:w="1031"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27,7</w:t>
            </w:r>
            <w:r w:rsidRPr="004E7F31">
              <w:rPr>
                <w:rFonts w:cs="Arial"/>
                <w:vertAlign w:val="superscript"/>
                <w:lang w:val="es-ES_tradnl"/>
              </w:rPr>
              <w:t xml:space="preserve">a </w:t>
            </w:r>
            <w:r w:rsidRPr="004E7F31">
              <w:rPr>
                <w:rFonts w:cs="Arial"/>
              </w:rPr>
              <w:t>±0.21</w:t>
            </w:r>
          </w:p>
        </w:tc>
        <w:tc>
          <w:tcPr>
            <w:tcW w:w="1210"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32,7</w:t>
            </w:r>
            <w:r w:rsidRPr="004E7F31">
              <w:rPr>
                <w:rFonts w:cs="Arial"/>
                <w:vertAlign w:val="superscript"/>
                <w:lang w:val="es-ES_tradnl"/>
              </w:rPr>
              <w:t xml:space="preserve">b </w:t>
            </w:r>
            <w:r w:rsidRPr="004E7F31">
              <w:rPr>
                <w:rFonts w:cs="Arial"/>
              </w:rPr>
              <w:t>±0.47</w:t>
            </w:r>
          </w:p>
        </w:tc>
        <w:tc>
          <w:tcPr>
            <w:tcW w:w="127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67,0</w:t>
            </w:r>
            <w:r w:rsidRPr="004E7F31">
              <w:rPr>
                <w:rFonts w:cs="Arial"/>
                <w:vertAlign w:val="superscript"/>
                <w:lang w:val="es-ES_tradnl"/>
              </w:rPr>
              <w:t xml:space="preserve">c </w:t>
            </w:r>
            <w:r w:rsidRPr="004E7F31">
              <w:rPr>
                <w:rFonts w:cs="Arial"/>
              </w:rPr>
              <w:t>±0.10</w:t>
            </w:r>
          </w:p>
        </w:tc>
        <w:tc>
          <w:tcPr>
            <w:tcW w:w="127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89,0</w:t>
            </w:r>
            <w:r w:rsidRPr="004E7F31">
              <w:rPr>
                <w:rFonts w:cs="Arial"/>
                <w:vertAlign w:val="superscript"/>
                <w:lang w:val="es-ES_tradnl"/>
              </w:rPr>
              <w:t xml:space="preserve">c </w:t>
            </w:r>
            <w:r w:rsidRPr="004E7F31">
              <w:rPr>
                <w:rFonts w:cs="Arial"/>
              </w:rPr>
              <w:t>±0.56</w:t>
            </w:r>
          </w:p>
        </w:tc>
        <w:tc>
          <w:tcPr>
            <w:tcW w:w="127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124,7</w:t>
            </w:r>
            <w:r w:rsidRPr="004E7F31">
              <w:rPr>
                <w:rFonts w:cs="Arial"/>
                <w:vertAlign w:val="superscript"/>
                <w:lang w:val="es-ES_tradnl"/>
              </w:rPr>
              <w:t xml:space="preserve">c </w:t>
            </w:r>
            <w:r w:rsidRPr="004E7F31">
              <w:rPr>
                <w:rFonts w:cs="Arial"/>
              </w:rPr>
              <w:t>±0.007</w:t>
            </w:r>
          </w:p>
        </w:tc>
        <w:tc>
          <w:tcPr>
            <w:tcW w:w="1302"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131,0</w:t>
            </w:r>
            <w:r w:rsidRPr="004E7F31">
              <w:rPr>
                <w:rFonts w:cs="Arial"/>
                <w:vertAlign w:val="superscript"/>
                <w:lang w:val="es-ES_tradnl"/>
              </w:rPr>
              <w:t xml:space="preserve">b </w:t>
            </w:r>
            <w:r w:rsidRPr="004E7F31">
              <w:rPr>
                <w:rFonts w:cs="Arial"/>
              </w:rPr>
              <w:t>±0.052</w:t>
            </w:r>
          </w:p>
        </w:tc>
      </w:tr>
    </w:tbl>
    <w:p w:rsidR="008D61AD" w:rsidRPr="004E7F31" w:rsidRDefault="008D61AD" w:rsidP="00431C3A">
      <w:pPr>
        <w:spacing w:before="0" w:after="0"/>
        <w:rPr>
          <w:rFonts w:cs="Arial"/>
        </w:rPr>
      </w:pPr>
      <w:r w:rsidRPr="004E7F31">
        <w:rPr>
          <w:rFonts w:cs="Arial"/>
        </w:rPr>
        <w:t xml:space="preserve">    LEYENDA: Las letras desiguales en la misma columna difieren para p&lt; 0.05. </w:t>
      </w:r>
    </w:p>
    <w:p w:rsidR="008D61AD" w:rsidRDefault="008D61AD" w:rsidP="008D61AD">
      <w:pPr>
        <w:rPr>
          <w:rFonts w:cs="Arial"/>
        </w:rPr>
      </w:pPr>
    </w:p>
    <w:p w:rsidR="008D61AD" w:rsidRDefault="008D61AD" w:rsidP="00431C3A">
      <w:pPr>
        <w:spacing w:before="0" w:after="0"/>
        <w:rPr>
          <w:rFonts w:cs="Arial"/>
        </w:rPr>
      </w:pPr>
      <w:r w:rsidRPr="004E7F31">
        <w:rPr>
          <w:rFonts w:cs="Arial"/>
        </w:rPr>
        <w:t xml:space="preserve">Tabla  3.  Comportamiento  del  pH  a  los  diferentes  tiempos  y  proporciones del </w:t>
      </w:r>
      <w:r w:rsidRPr="004E7F31">
        <w:rPr>
          <w:rFonts w:cs="Arial"/>
          <w:i/>
          <w:iCs/>
          <w:lang w:val="es-ES_tradnl"/>
        </w:rPr>
        <w:t>SQ</w:t>
      </w:r>
      <w:r w:rsidRPr="004E7F31">
        <w:rPr>
          <w:rFonts w:cs="Arial"/>
          <w:lang w:val="es-ES_tradnl"/>
        </w:rPr>
        <w:t xml:space="preserve"> +</w:t>
      </w:r>
      <w:r w:rsidRPr="004E7F31">
        <w:rPr>
          <w:rFonts w:cs="Arial"/>
        </w:rPr>
        <w:t xml:space="preserve"> RLS.</w:t>
      </w:r>
    </w:p>
    <w:tbl>
      <w:tblPr>
        <w:tblW w:w="8896" w:type="dxa"/>
        <w:tblInd w:w="108" w:type="dxa"/>
        <w:tblCellMar>
          <w:left w:w="0" w:type="dxa"/>
          <w:right w:w="0" w:type="dxa"/>
        </w:tblCellMar>
        <w:tblLook w:val="04A0"/>
      </w:tblPr>
      <w:tblGrid>
        <w:gridCol w:w="1989"/>
        <w:gridCol w:w="1096"/>
        <w:gridCol w:w="1219"/>
        <w:gridCol w:w="1219"/>
        <w:gridCol w:w="1205"/>
        <w:gridCol w:w="1041"/>
        <w:gridCol w:w="1127"/>
      </w:tblGrid>
      <w:tr w:rsidR="008D61AD" w:rsidRPr="004E7F31" w:rsidTr="00A1180C">
        <w:trPr>
          <w:trHeight w:val="499"/>
        </w:trPr>
        <w:tc>
          <w:tcPr>
            <w:tcW w:w="1989" w:type="dxa"/>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Tratamiento </w:t>
            </w:r>
          </w:p>
        </w:tc>
        <w:tc>
          <w:tcPr>
            <w:tcW w:w="6907" w:type="dxa"/>
            <w:gridSpan w:val="6"/>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Medias de lecturas de pH</w:t>
            </w:r>
          </w:p>
        </w:tc>
      </w:tr>
      <w:tr w:rsidR="008D61AD" w:rsidRPr="004E7F31" w:rsidTr="00A1180C">
        <w:trPr>
          <w:trHeight w:val="428"/>
        </w:trPr>
        <w:tc>
          <w:tcPr>
            <w:tcW w:w="198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i/>
                <w:iCs/>
                <w:lang w:val="es-ES_tradnl"/>
              </w:rPr>
              <w:t>SQ</w:t>
            </w:r>
            <w:r w:rsidRPr="004E7F31">
              <w:rPr>
                <w:rFonts w:cs="Arial"/>
                <w:lang w:val="es-ES_tradnl"/>
              </w:rPr>
              <w:t xml:space="preserve"> +</w:t>
            </w:r>
            <w:r w:rsidRPr="004E7F31">
              <w:rPr>
                <w:rFonts w:cs="Arial"/>
              </w:rPr>
              <w:t xml:space="preserve"> RLS</w:t>
            </w:r>
          </w:p>
        </w:tc>
        <w:tc>
          <w:tcPr>
            <w:tcW w:w="1096"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T-0</w:t>
            </w:r>
          </w:p>
        </w:tc>
        <w:tc>
          <w:tcPr>
            <w:tcW w:w="121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T-12</w:t>
            </w:r>
          </w:p>
        </w:tc>
        <w:tc>
          <w:tcPr>
            <w:tcW w:w="121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T-24</w:t>
            </w:r>
          </w:p>
        </w:tc>
        <w:tc>
          <w:tcPr>
            <w:tcW w:w="1205"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T-36</w:t>
            </w:r>
          </w:p>
        </w:tc>
        <w:tc>
          <w:tcPr>
            <w:tcW w:w="1041"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T-48</w:t>
            </w:r>
          </w:p>
        </w:tc>
        <w:tc>
          <w:tcPr>
            <w:tcW w:w="1127"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T-60</w:t>
            </w:r>
          </w:p>
        </w:tc>
      </w:tr>
      <w:tr w:rsidR="008D61AD" w:rsidRPr="004E7F31" w:rsidTr="00A1180C">
        <w:trPr>
          <w:trHeight w:val="547"/>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1- </w:t>
            </w:r>
            <w:r w:rsidRPr="004E7F31">
              <w:rPr>
                <w:rFonts w:cs="Arial"/>
              </w:rPr>
              <w:t xml:space="preserve">50 % </w:t>
            </w:r>
          </w:p>
        </w:tc>
        <w:tc>
          <w:tcPr>
            <w:tcW w:w="1096"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4,89</w:t>
            </w:r>
            <w:r w:rsidRPr="004E7F31">
              <w:rPr>
                <w:rFonts w:cs="Arial"/>
                <w:vertAlign w:val="superscript"/>
                <w:lang w:val="es-ES_tradnl"/>
              </w:rPr>
              <w:t>ª</w:t>
            </w:r>
          </w:p>
          <w:p w:rsidR="008D61AD" w:rsidRPr="004E7F31" w:rsidRDefault="008D61AD" w:rsidP="00431C3A">
            <w:pPr>
              <w:spacing w:before="0" w:after="0"/>
              <w:rPr>
                <w:rFonts w:cs="Arial"/>
              </w:rPr>
            </w:pPr>
            <w:r w:rsidRPr="004E7F31">
              <w:rPr>
                <w:rFonts w:cs="Arial"/>
              </w:rPr>
              <w:t>±0.000</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4,34</w:t>
            </w:r>
            <w:r w:rsidRPr="004E7F31">
              <w:rPr>
                <w:rFonts w:cs="Arial"/>
                <w:vertAlign w:val="superscript"/>
                <w:lang w:val="es-ES_tradnl"/>
              </w:rPr>
              <w:t xml:space="preserve">a </w:t>
            </w:r>
            <w:r w:rsidRPr="004E7F31">
              <w:rPr>
                <w:rFonts w:cs="Arial"/>
              </w:rPr>
              <w:t>±0.032</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4,25</w:t>
            </w:r>
            <w:r w:rsidRPr="004E7F31">
              <w:rPr>
                <w:rFonts w:cs="Arial"/>
                <w:vertAlign w:val="superscript"/>
                <w:lang w:val="es-ES_tradnl"/>
              </w:rPr>
              <w:t xml:space="preserve">a </w:t>
            </w:r>
            <w:r w:rsidRPr="004E7F31">
              <w:rPr>
                <w:rFonts w:cs="Arial"/>
              </w:rPr>
              <w:t>±0.005</w:t>
            </w:r>
          </w:p>
        </w:tc>
        <w:tc>
          <w:tcPr>
            <w:tcW w:w="1205"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4,02</w:t>
            </w:r>
            <w:r w:rsidRPr="004E7F31">
              <w:rPr>
                <w:rFonts w:cs="Arial"/>
                <w:vertAlign w:val="superscript"/>
                <w:lang w:val="es-ES_tradnl"/>
              </w:rPr>
              <w:t xml:space="preserve">a </w:t>
            </w:r>
            <w:r w:rsidRPr="004E7F31">
              <w:rPr>
                <w:rFonts w:cs="Arial"/>
              </w:rPr>
              <w:t>±0.015</w:t>
            </w:r>
          </w:p>
        </w:tc>
        <w:tc>
          <w:tcPr>
            <w:tcW w:w="104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3,91</w:t>
            </w:r>
            <w:r w:rsidRPr="004E7F31">
              <w:rPr>
                <w:rFonts w:cs="Arial"/>
                <w:vertAlign w:val="superscript"/>
                <w:lang w:val="es-ES_tradnl"/>
              </w:rPr>
              <w:t>a</w:t>
            </w:r>
          </w:p>
          <w:p w:rsidR="008D61AD" w:rsidRPr="004E7F31" w:rsidRDefault="008D61AD" w:rsidP="00431C3A">
            <w:pPr>
              <w:spacing w:before="0" w:after="0"/>
              <w:rPr>
                <w:rFonts w:cs="Arial"/>
              </w:rPr>
            </w:pPr>
            <w:r w:rsidRPr="004E7F31">
              <w:rPr>
                <w:rFonts w:cs="Arial"/>
              </w:rPr>
              <w:t>±0.061</w:t>
            </w:r>
          </w:p>
        </w:tc>
        <w:tc>
          <w:tcPr>
            <w:tcW w:w="112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3,74</w:t>
            </w:r>
            <w:r w:rsidRPr="004E7F31">
              <w:rPr>
                <w:rFonts w:cs="Arial"/>
                <w:vertAlign w:val="superscript"/>
                <w:lang w:val="es-ES_tradnl"/>
              </w:rPr>
              <w:t>a</w:t>
            </w:r>
          </w:p>
          <w:p w:rsidR="008D61AD" w:rsidRPr="004E7F31" w:rsidRDefault="008D61AD" w:rsidP="00431C3A">
            <w:pPr>
              <w:spacing w:before="0" w:after="0"/>
              <w:rPr>
                <w:rFonts w:cs="Arial"/>
              </w:rPr>
            </w:pPr>
            <w:r w:rsidRPr="004E7F31">
              <w:rPr>
                <w:rFonts w:cs="Arial"/>
              </w:rPr>
              <w:t>±0.030</w:t>
            </w:r>
          </w:p>
        </w:tc>
      </w:tr>
      <w:tr w:rsidR="008D61AD" w:rsidRPr="004E7F31" w:rsidTr="00A1180C">
        <w:trPr>
          <w:trHeight w:val="516"/>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2- </w:t>
            </w:r>
            <w:r w:rsidRPr="004E7F31">
              <w:rPr>
                <w:rFonts w:cs="Arial"/>
              </w:rPr>
              <w:t xml:space="preserve">75 % </w:t>
            </w:r>
          </w:p>
        </w:tc>
        <w:tc>
          <w:tcPr>
            <w:tcW w:w="1096"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5,12</w:t>
            </w:r>
            <w:r w:rsidRPr="004E7F31">
              <w:rPr>
                <w:rFonts w:cs="Arial"/>
                <w:vertAlign w:val="superscript"/>
                <w:lang w:val="es-ES_tradnl"/>
              </w:rPr>
              <w:t xml:space="preserve">b </w:t>
            </w:r>
            <w:r w:rsidRPr="004E7F31">
              <w:rPr>
                <w:rFonts w:cs="Arial"/>
              </w:rPr>
              <w:t>±0.005</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4,62</w:t>
            </w:r>
            <w:r w:rsidRPr="004E7F31">
              <w:rPr>
                <w:rFonts w:cs="Arial"/>
                <w:vertAlign w:val="superscript"/>
                <w:lang w:val="es-ES_tradnl"/>
              </w:rPr>
              <w:t xml:space="preserve">b </w:t>
            </w:r>
            <w:r w:rsidRPr="004E7F31">
              <w:rPr>
                <w:rFonts w:cs="Arial"/>
              </w:rPr>
              <w:t>±0.078</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4,32</w:t>
            </w:r>
            <w:r w:rsidRPr="004E7F31">
              <w:rPr>
                <w:rFonts w:cs="Arial"/>
                <w:vertAlign w:val="superscript"/>
                <w:lang w:val="es-ES_tradnl"/>
              </w:rPr>
              <w:t xml:space="preserve">a </w:t>
            </w:r>
            <w:r w:rsidRPr="004E7F31">
              <w:rPr>
                <w:rFonts w:cs="Arial"/>
              </w:rPr>
              <w:t>±0.005</w:t>
            </w:r>
          </w:p>
        </w:tc>
        <w:tc>
          <w:tcPr>
            <w:tcW w:w="1205"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3,96</w:t>
            </w:r>
            <w:r w:rsidRPr="004E7F31">
              <w:rPr>
                <w:rFonts w:cs="Arial"/>
                <w:vertAlign w:val="superscript"/>
                <w:lang w:val="es-ES_tradnl"/>
              </w:rPr>
              <w:t xml:space="preserve">a </w:t>
            </w:r>
            <w:r w:rsidRPr="004E7F31">
              <w:rPr>
                <w:rFonts w:cs="Arial"/>
              </w:rPr>
              <w:t>±0.017</w:t>
            </w:r>
          </w:p>
        </w:tc>
        <w:tc>
          <w:tcPr>
            <w:tcW w:w="104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3,92</w:t>
            </w:r>
            <w:r w:rsidRPr="004E7F31">
              <w:rPr>
                <w:rFonts w:cs="Arial"/>
                <w:vertAlign w:val="superscript"/>
                <w:lang w:val="es-ES_tradnl"/>
              </w:rPr>
              <w:t xml:space="preserve">a </w:t>
            </w:r>
            <w:r w:rsidRPr="004E7F31">
              <w:rPr>
                <w:rFonts w:cs="Arial"/>
              </w:rPr>
              <w:t>±0.053</w:t>
            </w:r>
          </w:p>
        </w:tc>
        <w:tc>
          <w:tcPr>
            <w:tcW w:w="112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3,73</w:t>
            </w:r>
            <w:r w:rsidRPr="004E7F31">
              <w:rPr>
                <w:rFonts w:cs="Arial"/>
                <w:vertAlign w:val="superscript"/>
                <w:lang w:val="es-ES_tradnl"/>
              </w:rPr>
              <w:t xml:space="preserve">a </w:t>
            </w:r>
            <w:r w:rsidRPr="004E7F31">
              <w:rPr>
                <w:rFonts w:cs="Arial"/>
              </w:rPr>
              <w:t>±0.026</w:t>
            </w:r>
          </w:p>
        </w:tc>
      </w:tr>
      <w:tr w:rsidR="008D61AD" w:rsidRPr="004E7F31" w:rsidTr="00A1180C">
        <w:trPr>
          <w:trHeight w:val="657"/>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3- </w:t>
            </w:r>
            <w:r w:rsidRPr="004E7F31">
              <w:rPr>
                <w:rFonts w:cs="Arial"/>
              </w:rPr>
              <w:t xml:space="preserve">90 % </w:t>
            </w:r>
          </w:p>
        </w:tc>
        <w:tc>
          <w:tcPr>
            <w:tcW w:w="1096"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5,34</w:t>
            </w:r>
            <w:r w:rsidRPr="004E7F31">
              <w:rPr>
                <w:rFonts w:cs="Arial"/>
                <w:vertAlign w:val="superscript"/>
                <w:lang w:val="es-ES_tradnl"/>
              </w:rPr>
              <w:t xml:space="preserve">c </w:t>
            </w:r>
            <w:r w:rsidRPr="004E7F31">
              <w:rPr>
                <w:rFonts w:cs="Arial"/>
              </w:rPr>
              <w:t>±0.020</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4,87</w:t>
            </w:r>
            <w:r w:rsidRPr="004E7F31">
              <w:rPr>
                <w:rFonts w:cs="Arial"/>
                <w:vertAlign w:val="superscript"/>
                <w:lang w:val="es-ES_tradnl"/>
              </w:rPr>
              <w:t xml:space="preserve">c </w:t>
            </w:r>
            <w:r w:rsidRPr="004E7F31">
              <w:rPr>
                <w:rFonts w:cs="Arial"/>
              </w:rPr>
              <w:t>±0.045</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4,47</w:t>
            </w:r>
            <w:r w:rsidRPr="004E7F31">
              <w:rPr>
                <w:rFonts w:cs="Arial"/>
                <w:vertAlign w:val="superscript"/>
                <w:lang w:val="es-ES_tradnl"/>
              </w:rPr>
              <w:t xml:space="preserve">b </w:t>
            </w:r>
            <w:r w:rsidRPr="004E7F31">
              <w:rPr>
                <w:rFonts w:cs="Arial"/>
              </w:rPr>
              <w:t>±0.005</w:t>
            </w:r>
          </w:p>
        </w:tc>
        <w:tc>
          <w:tcPr>
            <w:tcW w:w="1205"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3,99</w:t>
            </w:r>
            <w:r w:rsidRPr="004E7F31">
              <w:rPr>
                <w:rFonts w:cs="Arial"/>
                <w:vertAlign w:val="superscript"/>
                <w:lang w:val="es-ES_tradnl"/>
              </w:rPr>
              <w:t xml:space="preserve">a </w:t>
            </w:r>
            <w:r w:rsidRPr="004E7F31">
              <w:rPr>
                <w:rFonts w:cs="Arial"/>
              </w:rPr>
              <w:t>±0.005</w:t>
            </w:r>
          </w:p>
        </w:tc>
        <w:tc>
          <w:tcPr>
            <w:tcW w:w="104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3,86</w:t>
            </w:r>
            <w:r w:rsidRPr="004E7F31">
              <w:rPr>
                <w:rFonts w:cs="Arial"/>
                <w:vertAlign w:val="superscript"/>
                <w:lang w:val="es-ES_tradnl"/>
              </w:rPr>
              <w:t xml:space="preserve">a </w:t>
            </w:r>
            <w:r w:rsidRPr="004E7F31">
              <w:rPr>
                <w:rFonts w:cs="Arial"/>
              </w:rPr>
              <w:t>±0.061</w:t>
            </w:r>
          </w:p>
        </w:tc>
        <w:tc>
          <w:tcPr>
            <w:tcW w:w="112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3,86</w:t>
            </w:r>
            <w:r w:rsidRPr="004E7F31">
              <w:rPr>
                <w:rFonts w:cs="Arial"/>
                <w:vertAlign w:val="superscript"/>
                <w:lang w:val="es-ES_tradnl"/>
              </w:rPr>
              <w:t xml:space="preserve">b </w:t>
            </w:r>
            <w:r w:rsidRPr="004E7F31">
              <w:rPr>
                <w:rFonts w:cs="Arial"/>
              </w:rPr>
              <w:t>±0.011</w:t>
            </w:r>
          </w:p>
        </w:tc>
      </w:tr>
      <w:tr w:rsidR="008D61AD" w:rsidRPr="004E7F31" w:rsidTr="00A1180C">
        <w:trPr>
          <w:trHeight w:val="498"/>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w:t>
            </w:r>
            <w:r w:rsidRPr="004E7F31">
              <w:rPr>
                <w:rFonts w:cs="Arial"/>
              </w:rPr>
              <w:t>100 %</w:t>
            </w:r>
          </w:p>
        </w:tc>
        <w:tc>
          <w:tcPr>
            <w:tcW w:w="1096"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6,08</w:t>
            </w:r>
            <w:r w:rsidRPr="004E7F31">
              <w:rPr>
                <w:rFonts w:cs="Arial"/>
                <w:vertAlign w:val="superscript"/>
                <w:lang w:val="es-ES_tradnl"/>
              </w:rPr>
              <w:t xml:space="preserve">d </w:t>
            </w:r>
            <w:r w:rsidRPr="004E7F31">
              <w:rPr>
                <w:rFonts w:cs="Arial"/>
              </w:rPr>
              <w:t>±0.021</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5,75</w:t>
            </w:r>
            <w:r w:rsidRPr="004E7F31">
              <w:rPr>
                <w:rFonts w:cs="Arial"/>
                <w:vertAlign w:val="superscript"/>
                <w:lang w:val="es-ES_tradnl"/>
              </w:rPr>
              <w:t xml:space="preserve">d </w:t>
            </w:r>
            <w:r w:rsidRPr="004E7F31">
              <w:rPr>
                <w:rFonts w:cs="Arial"/>
              </w:rPr>
              <w:t>±0.069</w:t>
            </w:r>
          </w:p>
        </w:tc>
        <w:tc>
          <w:tcPr>
            <w:tcW w:w="121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5,20</w:t>
            </w:r>
            <w:r w:rsidRPr="004E7F31">
              <w:rPr>
                <w:rFonts w:cs="Arial"/>
                <w:vertAlign w:val="superscript"/>
                <w:lang w:val="es-ES_tradnl"/>
              </w:rPr>
              <w:t xml:space="preserve">c </w:t>
            </w:r>
            <w:r w:rsidRPr="004E7F31">
              <w:rPr>
                <w:rFonts w:cs="Arial"/>
              </w:rPr>
              <w:t>±0.037</w:t>
            </w:r>
          </w:p>
        </w:tc>
        <w:tc>
          <w:tcPr>
            <w:tcW w:w="1205"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4,91</w:t>
            </w:r>
            <w:r w:rsidRPr="004E7F31">
              <w:rPr>
                <w:rFonts w:cs="Arial"/>
                <w:vertAlign w:val="superscript"/>
                <w:lang w:val="es-ES_tradnl"/>
              </w:rPr>
              <w:t xml:space="preserve">b </w:t>
            </w:r>
            <w:r w:rsidRPr="004E7F31">
              <w:rPr>
                <w:rFonts w:cs="Arial"/>
              </w:rPr>
              <w:t>±0.044</w:t>
            </w:r>
          </w:p>
        </w:tc>
        <w:tc>
          <w:tcPr>
            <w:tcW w:w="104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4,84</w:t>
            </w:r>
            <w:r w:rsidRPr="004E7F31">
              <w:rPr>
                <w:rFonts w:cs="Arial"/>
                <w:vertAlign w:val="superscript"/>
                <w:lang w:val="es-ES_tradnl"/>
              </w:rPr>
              <w:t xml:space="preserve">b </w:t>
            </w:r>
            <w:r w:rsidRPr="004E7F31">
              <w:rPr>
                <w:rFonts w:cs="Arial"/>
              </w:rPr>
              <w:t>±0.015</w:t>
            </w:r>
          </w:p>
        </w:tc>
        <w:tc>
          <w:tcPr>
            <w:tcW w:w="112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4,84</w:t>
            </w:r>
            <w:r w:rsidRPr="004E7F31">
              <w:rPr>
                <w:rFonts w:cs="Arial"/>
                <w:vertAlign w:val="superscript"/>
                <w:lang w:val="es-ES_tradnl"/>
              </w:rPr>
              <w:t xml:space="preserve">c </w:t>
            </w:r>
            <w:r w:rsidRPr="004E7F31">
              <w:rPr>
                <w:rFonts w:cs="Arial"/>
              </w:rPr>
              <w:t>±0.025</w:t>
            </w:r>
          </w:p>
        </w:tc>
      </w:tr>
      <w:tr w:rsidR="008D61AD" w:rsidRPr="004E7F31" w:rsidTr="00A1180C">
        <w:trPr>
          <w:trHeight w:val="483"/>
        </w:trPr>
        <w:tc>
          <w:tcPr>
            <w:tcW w:w="198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 LS</w:t>
            </w:r>
          </w:p>
        </w:tc>
        <w:tc>
          <w:tcPr>
            <w:tcW w:w="1096"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6,60</w:t>
            </w:r>
            <w:r w:rsidRPr="004E7F31">
              <w:rPr>
                <w:rFonts w:cs="Arial"/>
                <w:vertAlign w:val="superscript"/>
                <w:lang w:val="es-ES_tradnl"/>
              </w:rPr>
              <w:t xml:space="preserve">e </w:t>
            </w:r>
            <w:r w:rsidRPr="004E7F31">
              <w:rPr>
                <w:rFonts w:cs="Arial"/>
              </w:rPr>
              <w:t>±0.005</w:t>
            </w:r>
          </w:p>
        </w:tc>
        <w:tc>
          <w:tcPr>
            <w:tcW w:w="121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6,44</w:t>
            </w:r>
            <w:r w:rsidRPr="004E7F31">
              <w:rPr>
                <w:rFonts w:cs="Arial"/>
                <w:vertAlign w:val="superscript"/>
                <w:lang w:val="es-ES_tradnl"/>
              </w:rPr>
              <w:t xml:space="preserve">e </w:t>
            </w:r>
            <w:r w:rsidRPr="004E7F31">
              <w:rPr>
                <w:rFonts w:cs="Arial"/>
              </w:rPr>
              <w:t>±0.158</w:t>
            </w:r>
          </w:p>
        </w:tc>
        <w:tc>
          <w:tcPr>
            <w:tcW w:w="121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5,48</w:t>
            </w:r>
            <w:r w:rsidRPr="004E7F31">
              <w:rPr>
                <w:rFonts w:cs="Arial"/>
                <w:vertAlign w:val="superscript"/>
                <w:lang w:val="es-ES_tradnl"/>
              </w:rPr>
              <w:t xml:space="preserve">d </w:t>
            </w:r>
            <w:r w:rsidRPr="004E7F31">
              <w:rPr>
                <w:rFonts w:cs="Arial"/>
              </w:rPr>
              <w:t>±0.106</w:t>
            </w:r>
          </w:p>
        </w:tc>
        <w:tc>
          <w:tcPr>
            <w:tcW w:w="1205"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5,00</w:t>
            </w:r>
            <w:r w:rsidRPr="004E7F31">
              <w:rPr>
                <w:rFonts w:cs="Arial"/>
                <w:vertAlign w:val="superscript"/>
                <w:lang w:val="es-ES_tradnl"/>
              </w:rPr>
              <w:t xml:space="preserve">c </w:t>
            </w:r>
            <w:r w:rsidRPr="004E7F31">
              <w:rPr>
                <w:rFonts w:cs="Arial"/>
              </w:rPr>
              <w:t>±0.032</w:t>
            </w:r>
          </w:p>
        </w:tc>
        <w:tc>
          <w:tcPr>
            <w:tcW w:w="1041"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4,87</w:t>
            </w:r>
            <w:r w:rsidRPr="004E7F31">
              <w:rPr>
                <w:rFonts w:cs="Arial"/>
                <w:vertAlign w:val="superscript"/>
                <w:lang w:val="es-ES_tradnl"/>
              </w:rPr>
              <w:t xml:space="preserve">b </w:t>
            </w:r>
            <w:r w:rsidRPr="004E7F31">
              <w:rPr>
                <w:rFonts w:cs="Arial"/>
              </w:rPr>
              <w:t>±0.025</w:t>
            </w:r>
          </w:p>
        </w:tc>
        <w:tc>
          <w:tcPr>
            <w:tcW w:w="1127"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4,20</w:t>
            </w:r>
            <w:r w:rsidRPr="004E7F31">
              <w:rPr>
                <w:rFonts w:cs="Arial"/>
                <w:vertAlign w:val="superscript"/>
                <w:lang w:val="es-ES_tradnl"/>
              </w:rPr>
              <w:t xml:space="preserve">c </w:t>
            </w:r>
            <w:r w:rsidRPr="004E7F31">
              <w:rPr>
                <w:rFonts w:cs="Arial"/>
              </w:rPr>
              <w:t>±0.023</w:t>
            </w:r>
          </w:p>
        </w:tc>
      </w:tr>
    </w:tbl>
    <w:p w:rsidR="008D61AD" w:rsidRPr="004E7F31" w:rsidRDefault="008D61AD" w:rsidP="00431C3A">
      <w:pPr>
        <w:spacing w:before="0" w:after="0"/>
        <w:rPr>
          <w:rFonts w:cs="Arial"/>
        </w:rPr>
      </w:pPr>
      <w:r w:rsidRPr="004E7F31">
        <w:rPr>
          <w:rFonts w:cs="Arial"/>
        </w:rPr>
        <w:t xml:space="preserve"> LEYENDA: Las letras desiguales en la misma columna difieren para p&lt; 0.05. </w:t>
      </w:r>
    </w:p>
    <w:p w:rsidR="008D61AD" w:rsidRPr="004E7F31" w:rsidRDefault="008D61AD" w:rsidP="00431C3A">
      <w:pPr>
        <w:spacing w:before="0" w:after="0"/>
        <w:rPr>
          <w:rFonts w:cs="Arial"/>
        </w:rPr>
      </w:pPr>
      <w:r w:rsidRPr="004E7F31">
        <w:rPr>
          <w:rFonts w:cs="Arial"/>
        </w:rPr>
        <w:t>Et: Error típico.</w:t>
      </w:r>
    </w:p>
    <w:p w:rsidR="008D61AD" w:rsidRPr="004E7F31" w:rsidRDefault="008D61AD" w:rsidP="008D61AD">
      <w:pPr>
        <w:rPr>
          <w:rFonts w:cs="Arial"/>
        </w:rPr>
      </w:pPr>
      <w:r w:rsidRPr="004E7F31">
        <w:rPr>
          <w:rFonts w:cs="Arial"/>
        </w:rPr>
        <w:t xml:space="preserve">Los valores de los diferenciales de acidez (Tabla 4) que muestran el crecimiento de las cepas estudiadas reflejan que entra las proporciones a las 12 h (T12), no existen diferencias estadísticas (p&lt; 0.05) al compararlas con la leche de soya, al igual que a las 24 h (T24) y 36 h (T36), con excepción de la proporción 100% RLS. A las 48h todas difieren de la leche de soya y a T60 solo lo hacen las proporciones de 90 y 100 %. Si se </w:t>
      </w:r>
      <w:r w:rsidRPr="004E7F31">
        <w:rPr>
          <w:rFonts w:cs="Arial"/>
        </w:rPr>
        <w:lastRenderedPageBreak/>
        <w:t>comparan las proporciones entre sí no difieren estadísticamente a excepción de la proporción del 100 % a partir de las 36 h.</w:t>
      </w:r>
    </w:p>
    <w:p w:rsidR="008D61AD" w:rsidRPr="004E7F31" w:rsidRDefault="008D61AD" w:rsidP="008D61AD">
      <w:pPr>
        <w:rPr>
          <w:rFonts w:cs="Arial"/>
        </w:rPr>
      </w:pPr>
      <w:r w:rsidRPr="004E7F31">
        <w:rPr>
          <w:rFonts w:cs="Arial"/>
        </w:rPr>
        <w:t>El diferencial de pH (Tabla 5) varió igualmente con los tiempos de lectura, y a T12 existe diferencia significativa (p &lt; 0.</w:t>
      </w:r>
      <w:r w:rsidRPr="004E7F31">
        <w:rPr>
          <w:rFonts w:eastAsia="Calibri" w:cs="Arial"/>
        </w:rPr>
        <w:t>05</w:t>
      </w:r>
      <w:r w:rsidRPr="004E7F31">
        <w:rPr>
          <w:rFonts w:cs="Arial"/>
        </w:rPr>
        <w:t>) con la leche de soya a favor de las proporciones 50, 75 y 90 %. A las 36 h (T36) las proporciones de 75, 90 y 100% no difieren de la leche de soya. Entre proporciones solo se observan diferencias significativas (p &lt; 0.</w:t>
      </w:r>
      <w:r w:rsidRPr="004E7F31">
        <w:rPr>
          <w:rFonts w:eastAsia="Calibri" w:cs="Arial"/>
        </w:rPr>
        <w:t>05</w:t>
      </w:r>
      <w:r w:rsidRPr="004E7F31">
        <w:rPr>
          <w:rFonts w:cs="Arial"/>
        </w:rPr>
        <w:t>) a partir de T48 en la del 50 %.</w:t>
      </w:r>
    </w:p>
    <w:p w:rsidR="008D61AD" w:rsidRDefault="008D61AD" w:rsidP="008D61AD">
      <w:pPr>
        <w:rPr>
          <w:rFonts w:cs="Arial"/>
          <w:bCs/>
        </w:rPr>
      </w:pPr>
    </w:p>
    <w:p w:rsidR="008D61AD" w:rsidRDefault="008D61AD" w:rsidP="00431C3A">
      <w:pPr>
        <w:spacing w:before="0" w:after="0"/>
        <w:rPr>
          <w:rFonts w:cs="Arial"/>
          <w:bCs/>
        </w:rPr>
      </w:pPr>
      <w:r w:rsidRPr="004E7F31">
        <w:rPr>
          <w:rFonts w:cs="Arial"/>
          <w:bCs/>
        </w:rPr>
        <w:t xml:space="preserve">Tabla 4. Comportamiento de los diferenciales de acidez de las diferentes proporciones del líquido residual del ablandamiento del grano de soya. </w:t>
      </w:r>
    </w:p>
    <w:tbl>
      <w:tblPr>
        <w:tblW w:w="8099" w:type="dxa"/>
        <w:tblInd w:w="108" w:type="dxa"/>
        <w:tblCellMar>
          <w:left w:w="0" w:type="dxa"/>
          <w:right w:w="0" w:type="dxa"/>
        </w:tblCellMar>
        <w:tblLook w:val="04A0"/>
      </w:tblPr>
      <w:tblGrid>
        <w:gridCol w:w="1989"/>
        <w:gridCol w:w="1177"/>
        <w:gridCol w:w="1273"/>
        <w:gridCol w:w="1178"/>
        <w:gridCol w:w="1192"/>
        <w:gridCol w:w="1290"/>
      </w:tblGrid>
      <w:tr w:rsidR="008D61AD" w:rsidRPr="004E7F31" w:rsidTr="00A1180C">
        <w:trPr>
          <w:trHeight w:val="475"/>
        </w:trPr>
        <w:tc>
          <w:tcPr>
            <w:tcW w:w="1989" w:type="dxa"/>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Tratamiento </w:t>
            </w:r>
          </w:p>
        </w:tc>
        <w:tc>
          <w:tcPr>
            <w:tcW w:w="6110" w:type="dxa"/>
            <w:gridSpan w:val="5"/>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Medias de diferenciales Acidez </w:t>
            </w:r>
          </w:p>
        </w:tc>
      </w:tr>
      <w:tr w:rsidR="008D61AD" w:rsidRPr="004E7F31" w:rsidTr="00A1180C">
        <w:trPr>
          <w:trHeight w:val="334"/>
        </w:trPr>
        <w:tc>
          <w:tcPr>
            <w:tcW w:w="198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i/>
                <w:iCs/>
                <w:lang w:val="es-ES_tradnl"/>
              </w:rPr>
              <w:t>SQ</w:t>
            </w:r>
            <w:r w:rsidRPr="004E7F31">
              <w:rPr>
                <w:rFonts w:cs="Arial"/>
                <w:lang w:val="es-ES_tradnl"/>
              </w:rPr>
              <w:t xml:space="preserve"> +</w:t>
            </w:r>
            <w:r w:rsidRPr="004E7F31">
              <w:rPr>
                <w:rFonts w:cs="Arial"/>
              </w:rPr>
              <w:t xml:space="preserve"> RLS</w:t>
            </w:r>
          </w:p>
        </w:tc>
        <w:tc>
          <w:tcPr>
            <w:tcW w:w="1177"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T-12 </w:t>
            </w:r>
          </w:p>
        </w:tc>
        <w:tc>
          <w:tcPr>
            <w:tcW w:w="1273"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T-24</w:t>
            </w:r>
          </w:p>
        </w:tc>
        <w:tc>
          <w:tcPr>
            <w:tcW w:w="1178"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T-36</w:t>
            </w:r>
          </w:p>
        </w:tc>
        <w:tc>
          <w:tcPr>
            <w:tcW w:w="1192"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T-48</w:t>
            </w:r>
          </w:p>
        </w:tc>
        <w:tc>
          <w:tcPr>
            <w:tcW w:w="1290"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T-60</w:t>
            </w:r>
          </w:p>
        </w:tc>
      </w:tr>
      <w:tr w:rsidR="008D61AD" w:rsidRPr="004E7F31" w:rsidTr="00A1180C">
        <w:trPr>
          <w:trHeight w:val="580"/>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1- </w:t>
            </w:r>
            <w:r w:rsidRPr="004E7F31">
              <w:rPr>
                <w:rFonts w:cs="Arial"/>
              </w:rPr>
              <w:t xml:space="preserve">50 % </w:t>
            </w:r>
          </w:p>
        </w:tc>
        <w:tc>
          <w:tcPr>
            <w:tcW w:w="117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7,0</w:t>
            </w:r>
            <w:r w:rsidRPr="004E7F31">
              <w:rPr>
                <w:rFonts w:cs="Arial"/>
                <w:vertAlign w:val="superscript"/>
                <w:lang w:val="es-ES_tradnl"/>
              </w:rPr>
              <w:t xml:space="preserve">a </w:t>
            </w:r>
            <w:r w:rsidRPr="004E7F31">
              <w:rPr>
                <w:rFonts w:cs="Arial"/>
              </w:rPr>
              <w:t>±0.26</w:t>
            </w:r>
          </w:p>
        </w:tc>
        <w:tc>
          <w:tcPr>
            <w:tcW w:w="1273"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21,3</w:t>
            </w:r>
            <w:r w:rsidRPr="004E7F31">
              <w:rPr>
                <w:rFonts w:cs="Arial"/>
                <w:vertAlign w:val="superscript"/>
                <w:lang w:val="es-ES_tradnl"/>
              </w:rPr>
              <w:t xml:space="preserve">ab </w:t>
            </w:r>
            <w:r w:rsidRPr="004E7F31">
              <w:rPr>
                <w:rFonts w:cs="Arial"/>
              </w:rPr>
              <w:t>±0.47</w:t>
            </w:r>
          </w:p>
        </w:tc>
        <w:tc>
          <w:tcPr>
            <w:tcW w:w="1178"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42,7</w:t>
            </w:r>
            <w:r w:rsidRPr="004E7F31">
              <w:rPr>
                <w:rFonts w:cs="Arial"/>
                <w:vertAlign w:val="superscript"/>
                <w:lang w:val="es-ES_tradnl"/>
              </w:rPr>
              <w:t xml:space="preserve">a </w:t>
            </w:r>
            <w:r w:rsidRPr="004E7F31">
              <w:rPr>
                <w:rFonts w:cs="Arial"/>
              </w:rPr>
              <w:t>±0.51</w:t>
            </w:r>
          </w:p>
        </w:tc>
        <w:tc>
          <w:tcPr>
            <w:tcW w:w="119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67,7</w:t>
            </w:r>
            <w:r w:rsidRPr="004E7F31">
              <w:rPr>
                <w:rFonts w:cs="Arial"/>
                <w:vertAlign w:val="superscript"/>
                <w:lang w:val="es-ES_tradnl"/>
              </w:rPr>
              <w:t xml:space="preserve">b </w:t>
            </w:r>
            <w:r w:rsidRPr="004E7F31">
              <w:rPr>
                <w:rFonts w:cs="Arial"/>
              </w:rPr>
              <w:t>±0.011</w:t>
            </w:r>
          </w:p>
        </w:tc>
        <w:tc>
          <w:tcPr>
            <w:tcW w:w="129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101,0</w:t>
            </w:r>
            <w:r w:rsidRPr="004E7F31">
              <w:rPr>
                <w:rFonts w:cs="Arial"/>
                <w:vertAlign w:val="superscript"/>
                <w:lang w:val="es-ES_tradnl"/>
              </w:rPr>
              <w:t xml:space="preserve">c </w:t>
            </w:r>
            <w:r w:rsidRPr="004E7F31">
              <w:rPr>
                <w:rFonts w:cs="Arial"/>
              </w:rPr>
              <w:t>±0.78</w:t>
            </w:r>
          </w:p>
        </w:tc>
      </w:tr>
      <w:tr w:rsidR="008D61AD" w:rsidRPr="004E7F31" w:rsidTr="00A1180C">
        <w:trPr>
          <w:trHeight w:val="475"/>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2- </w:t>
            </w:r>
            <w:r w:rsidRPr="004E7F31">
              <w:rPr>
                <w:rFonts w:cs="Arial"/>
              </w:rPr>
              <w:t xml:space="preserve">75 % </w:t>
            </w:r>
          </w:p>
        </w:tc>
        <w:tc>
          <w:tcPr>
            <w:tcW w:w="117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11,3</w:t>
            </w:r>
            <w:r w:rsidRPr="004E7F31">
              <w:rPr>
                <w:rFonts w:cs="Arial"/>
                <w:vertAlign w:val="superscript"/>
                <w:lang w:val="es-ES_tradnl"/>
              </w:rPr>
              <w:t xml:space="preserve">a </w:t>
            </w:r>
            <w:r w:rsidRPr="004E7F31">
              <w:rPr>
                <w:rFonts w:cs="Arial"/>
              </w:rPr>
              <w:t>±0.05</w:t>
            </w:r>
          </w:p>
        </w:tc>
        <w:tc>
          <w:tcPr>
            <w:tcW w:w="1273"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22,7</w:t>
            </w:r>
            <w:r w:rsidRPr="004E7F31">
              <w:rPr>
                <w:rFonts w:cs="Arial"/>
                <w:vertAlign w:val="superscript"/>
                <w:lang w:val="es-ES_tradnl"/>
              </w:rPr>
              <w:t xml:space="preserve">ab </w:t>
            </w:r>
            <w:r w:rsidRPr="004E7F31">
              <w:rPr>
                <w:rFonts w:cs="Arial"/>
              </w:rPr>
              <w:t>±0.15</w:t>
            </w:r>
          </w:p>
        </w:tc>
        <w:tc>
          <w:tcPr>
            <w:tcW w:w="1178"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44,0</w:t>
            </w:r>
            <w:r w:rsidRPr="004E7F31">
              <w:rPr>
                <w:rFonts w:cs="Arial"/>
                <w:vertAlign w:val="superscript"/>
                <w:lang w:val="es-ES_tradnl"/>
              </w:rPr>
              <w:t xml:space="preserve">a </w:t>
            </w:r>
            <w:r w:rsidRPr="004E7F31">
              <w:rPr>
                <w:rFonts w:cs="Arial"/>
              </w:rPr>
              <w:t>±0.26</w:t>
            </w:r>
          </w:p>
        </w:tc>
        <w:tc>
          <w:tcPr>
            <w:tcW w:w="119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59,0</w:t>
            </w:r>
            <w:r w:rsidRPr="004E7F31">
              <w:rPr>
                <w:rFonts w:cs="Arial"/>
                <w:vertAlign w:val="superscript"/>
                <w:lang w:val="es-ES_tradnl"/>
              </w:rPr>
              <w:t xml:space="preserve">b </w:t>
            </w:r>
            <w:r w:rsidRPr="004E7F31">
              <w:rPr>
                <w:rFonts w:cs="Arial"/>
              </w:rPr>
              <w:t>±0.081</w:t>
            </w:r>
          </w:p>
        </w:tc>
        <w:tc>
          <w:tcPr>
            <w:tcW w:w="129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83,3</w:t>
            </w:r>
            <w:r w:rsidRPr="004E7F31">
              <w:rPr>
                <w:rFonts w:cs="Arial"/>
                <w:vertAlign w:val="superscript"/>
                <w:lang w:val="es-ES_tradnl"/>
              </w:rPr>
              <w:t xml:space="preserve">cb </w:t>
            </w:r>
            <w:r w:rsidRPr="004E7F31">
              <w:rPr>
                <w:rFonts w:cs="Arial"/>
              </w:rPr>
              <w:t>±1.75</w:t>
            </w:r>
          </w:p>
        </w:tc>
      </w:tr>
      <w:tr w:rsidR="008D61AD" w:rsidRPr="004E7F31" w:rsidTr="00A1180C">
        <w:trPr>
          <w:trHeight w:val="475"/>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3- </w:t>
            </w:r>
            <w:r w:rsidRPr="004E7F31">
              <w:rPr>
                <w:rFonts w:cs="Arial"/>
              </w:rPr>
              <w:t xml:space="preserve">90 % </w:t>
            </w:r>
          </w:p>
        </w:tc>
        <w:tc>
          <w:tcPr>
            <w:tcW w:w="117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3,0</w:t>
            </w:r>
            <w:r w:rsidRPr="004E7F31">
              <w:rPr>
                <w:rFonts w:cs="Arial"/>
                <w:vertAlign w:val="superscript"/>
                <w:lang w:val="es-ES_tradnl"/>
              </w:rPr>
              <w:t xml:space="preserve">a </w:t>
            </w:r>
            <w:r w:rsidRPr="004E7F31">
              <w:rPr>
                <w:rFonts w:cs="Arial"/>
              </w:rPr>
              <w:t>±0.26</w:t>
            </w:r>
          </w:p>
        </w:tc>
        <w:tc>
          <w:tcPr>
            <w:tcW w:w="1273"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28,3</w:t>
            </w:r>
            <w:r w:rsidRPr="004E7F31">
              <w:rPr>
                <w:rFonts w:cs="Arial"/>
                <w:vertAlign w:val="superscript"/>
                <w:lang w:val="es-ES_tradnl"/>
              </w:rPr>
              <w:t xml:space="preserve">ab </w:t>
            </w:r>
            <w:r w:rsidRPr="004E7F31">
              <w:rPr>
                <w:rFonts w:cs="Arial"/>
              </w:rPr>
              <w:t>±0.57</w:t>
            </w:r>
          </w:p>
        </w:tc>
        <w:tc>
          <w:tcPr>
            <w:tcW w:w="1178"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52,3</w:t>
            </w:r>
            <w:r w:rsidRPr="004E7F31">
              <w:rPr>
                <w:rFonts w:cs="Arial"/>
                <w:vertAlign w:val="superscript"/>
                <w:lang w:val="es-ES_tradnl"/>
              </w:rPr>
              <w:t xml:space="preserve">a </w:t>
            </w:r>
            <w:r w:rsidRPr="004E7F31">
              <w:rPr>
                <w:rFonts w:cs="Arial"/>
              </w:rPr>
              <w:t>±0.15</w:t>
            </w:r>
          </w:p>
        </w:tc>
        <w:tc>
          <w:tcPr>
            <w:tcW w:w="119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58,0</w:t>
            </w:r>
            <w:r w:rsidRPr="004E7F31">
              <w:rPr>
                <w:rFonts w:cs="Arial"/>
                <w:vertAlign w:val="superscript"/>
                <w:lang w:val="es-ES_tradnl"/>
              </w:rPr>
              <w:t xml:space="preserve">b </w:t>
            </w:r>
            <w:r w:rsidRPr="004E7F31">
              <w:rPr>
                <w:rFonts w:cs="Arial"/>
              </w:rPr>
              <w:t>±0.045</w:t>
            </w:r>
          </w:p>
        </w:tc>
        <w:tc>
          <w:tcPr>
            <w:tcW w:w="129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64,7</w:t>
            </w:r>
            <w:r w:rsidRPr="004E7F31">
              <w:rPr>
                <w:rFonts w:cs="Arial"/>
                <w:vertAlign w:val="superscript"/>
                <w:lang w:val="es-ES_tradnl"/>
              </w:rPr>
              <w:t xml:space="preserve">b </w:t>
            </w:r>
            <w:r w:rsidRPr="004E7F31">
              <w:rPr>
                <w:rFonts w:cs="Arial"/>
              </w:rPr>
              <w:t>±0.46</w:t>
            </w:r>
          </w:p>
        </w:tc>
      </w:tr>
      <w:tr w:rsidR="008D61AD" w:rsidRPr="004E7F31" w:rsidTr="00A1180C">
        <w:trPr>
          <w:trHeight w:val="475"/>
        </w:trPr>
        <w:tc>
          <w:tcPr>
            <w:tcW w:w="198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w:t>
            </w:r>
            <w:r w:rsidRPr="004E7F31">
              <w:rPr>
                <w:rFonts w:cs="Arial"/>
              </w:rPr>
              <w:t>100 %</w:t>
            </w:r>
          </w:p>
        </w:tc>
        <w:tc>
          <w:tcPr>
            <w:tcW w:w="117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4,0</w:t>
            </w:r>
            <w:r w:rsidRPr="004E7F31">
              <w:rPr>
                <w:rFonts w:cs="Arial"/>
                <w:vertAlign w:val="superscript"/>
                <w:lang w:val="es-ES_tradnl"/>
              </w:rPr>
              <w:t xml:space="preserve">a </w:t>
            </w:r>
            <w:r w:rsidRPr="004E7F31">
              <w:rPr>
                <w:rFonts w:cs="Arial"/>
              </w:rPr>
              <w:t>±0.17</w:t>
            </w:r>
          </w:p>
        </w:tc>
        <w:tc>
          <w:tcPr>
            <w:tcW w:w="1273"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07,0</w:t>
            </w:r>
            <w:r w:rsidRPr="004E7F31">
              <w:rPr>
                <w:rFonts w:cs="Arial"/>
                <w:vertAlign w:val="superscript"/>
                <w:lang w:val="es-ES_tradnl"/>
              </w:rPr>
              <w:t xml:space="preserve">ac </w:t>
            </w:r>
            <w:r w:rsidRPr="004E7F31">
              <w:rPr>
                <w:rFonts w:cs="Arial"/>
              </w:rPr>
              <w:t>±0.10</w:t>
            </w:r>
          </w:p>
        </w:tc>
        <w:tc>
          <w:tcPr>
            <w:tcW w:w="1178"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vertAlign w:val="superscript"/>
                <w:lang w:val="es-ES_tradnl"/>
              </w:rPr>
            </w:pPr>
            <w:r w:rsidRPr="004E7F31">
              <w:rPr>
                <w:rFonts w:cs="Arial"/>
                <w:lang w:val="es-ES_tradnl"/>
              </w:rPr>
              <w:t>08,3</w:t>
            </w:r>
            <w:r w:rsidRPr="004E7F31">
              <w:rPr>
                <w:rFonts w:cs="Arial"/>
                <w:vertAlign w:val="superscript"/>
                <w:lang w:val="es-ES_tradnl"/>
              </w:rPr>
              <w:t xml:space="preserve">b </w:t>
            </w:r>
          </w:p>
          <w:p w:rsidR="008D61AD" w:rsidRPr="004E7F31" w:rsidRDefault="008D61AD" w:rsidP="00431C3A">
            <w:pPr>
              <w:spacing w:before="0" w:after="0"/>
              <w:rPr>
                <w:rFonts w:cs="Arial"/>
              </w:rPr>
            </w:pPr>
            <w:r w:rsidRPr="004E7F31">
              <w:rPr>
                <w:rFonts w:cs="Arial"/>
              </w:rPr>
              <w:t>±0. 20</w:t>
            </w:r>
          </w:p>
        </w:tc>
        <w:tc>
          <w:tcPr>
            <w:tcW w:w="1192"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12,7</w:t>
            </w:r>
            <w:r w:rsidRPr="004E7F31">
              <w:rPr>
                <w:rFonts w:cs="Arial"/>
                <w:vertAlign w:val="superscript"/>
                <w:lang w:val="es-ES_tradnl"/>
              </w:rPr>
              <w:t xml:space="preserve">a </w:t>
            </w:r>
            <w:r w:rsidRPr="004E7F31">
              <w:rPr>
                <w:rFonts w:cs="Arial"/>
              </w:rPr>
              <w:t>±0.015</w:t>
            </w:r>
          </w:p>
        </w:tc>
        <w:tc>
          <w:tcPr>
            <w:tcW w:w="129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14,0</w:t>
            </w:r>
            <w:r w:rsidRPr="004E7F31">
              <w:rPr>
                <w:rFonts w:cs="Arial"/>
                <w:vertAlign w:val="superscript"/>
                <w:lang w:val="es-ES_tradnl"/>
              </w:rPr>
              <w:t xml:space="preserve">a </w:t>
            </w:r>
            <w:r w:rsidRPr="004E7F31">
              <w:rPr>
                <w:rFonts w:cs="Arial"/>
              </w:rPr>
              <w:t>±0.10</w:t>
            </w:r>
          </w:p>
        </w:tc>
      </w:tr>
      <w:tr w:rsidR="008D61AD" w:rsidRPr="004E7F31" w:rsidTr="00A1180C">
        <w:trPr>
          <w:trHeight w:val="475"/>
        </w:trPr>
        <w:tc>
          <w:tcPr>
            <w:tcW w:w="198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 LS</w:t>
            </w:r>
          </w:p>
        </w:tc>
        <w:tc>
          <w:tcPr>
            <w:tcW w:w="1177"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14,7</w:t>
            </w:r>
            <w:r w:rsidRPr="004E7F31">
              <w:rPr>
                <w:rFonts w:cs="Arial"/>
                <w:vertAlign w:val="superscript"/>
                <w:lang w:val="es-ES_tradnl"/>
              </w:rPr>
              <w:t xml:space="preserve">a </w:t>
            </w:r>
            <w:r w:rsidRPr="004E7F31">
              <w:rPr>
                <w:rFonts w:cs="Arial"/>
              </w:rPr>
              <w:t>±1.76</w:t>
            </w:r>
          </w:p>
        </w:tc>
        <w:tc>
          <w:tcPr>
            <w:tcW w:w="1273"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44,3</w:t>
            </w:r>
            <w:r w:rsidRPr="004E7F31">
              <w:rPr>
                <w:rFonts w:cs="Arial"/>
                <w:vertAlign w:val="superscript"/>
                <w:lang w:val="es-ES_tradnl"/>
              </w:rPr>
              <w:t xml:space="preserve">b </w:t>
            </w:r>
            <w:r w:rsidRPr="004E7F31">
              <w:rPr>
                <w:rFonts w:cs="Arial"/>
              </w:rPr>
              <w:t>±2,84</w:t>
            </w:r>
          </w:p>
        </w:tc>
        <w:tc>
          <w:tcPr>
            <w:tcW w:w="1178"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49,3</w:t>
            </w:r>
            <w:r w:rsidRPr="004E7F31">
              <w:rPr>
                <w:rFonts w:cs="Arial"/>
                <w:vertAlign w:val="superscript"/>
                <w:lang w:val="es-ES_tradnl"/>
              </w:rPr>
              <w:t xml:space="preserve">a </w:t>
            </w:r>
            <w:r w:rsidRPr="004E7F31">
              <w:rPr>
                <w:rFonts w:cs="Arial"/>
              </w:rPr>
              <w:t>±0.0</w:t>
            </w:r>
          </w:p>
        </w:tc>
        <w:tc>
          <w:tcPr>
            <w:tcW w:w="1192"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97,0</w:t>
            </w:r>
            <w:r w:rsidRPr="004E7F31">
              <w:rPr>
                <w:rFonts w:cs="Arial"/>
                <w:vertAlign w:val="superscript"/>
                <w:lang w:val="es-ES_tradnl"/>
              </w:rPr>
              <w:t xml:space="preserve">c </w:t>
            </w:r>
            <w:r w:rsidRPr="004E7F31">
              <w:rPr>
                <w:rFonts w:cs="Arial"/>
              </w:rPr>
              <w:t>±0.055</w:t>
            </w:r>
          </w:p>
        </w:tc>
        <w:tc>
          <w:tcPr>
            <w:tcW w:w="1290"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112,3</w:t>
            </w:r>
            <w:r w:rsidRPr="004E7F31">
              <w:rPr>
                <w:rFonts w:cs="Arial"/>
                <w:vertAlign w:val="superscript"/>
                <w:lang w:val="es-ES_tradnl"/>
              </w:rPr>
              <w:t xml:space="preserve">c </w:t>
            </w:r>
            <w:r w:rsidRPr="004E7F31">
              <w:rPr>
                <w:rFonts w:cs="Arial"/>
              </w:rPr>
              <w:t>±1.66</w:t>
            </w:r>
          </w:p>
        </w:tc>
      </w:tr>
    </w:tbl>
    <w:p w:rsidR="008D61AD" w:rsidRPr="004E7F31" w:rsidRDefault="008D61AD" w:rsidP="00431C3A">
      <w:pPr>
        <w:spacing w:before="0" w:after="0" w:line="240" w:lineRule="auto"/>
        <w:rPr>
          <w:rFonts w:cs="Arial"/>
        </w:rPr>
      </w:pPr>
      <w:r w:rsidRPr="004E7F31">
        <w:rPr>
          <w:rFonts w:cs="Arial"/>
        </w:rPr>
        <w:t xml:space="preserve">LEYENDA: Las letras desiguales en la misma columna difieren para p&lt; 0.05. </w:t>
      </w:r>
    </w:p>
    <w:p w:rsidR="008D61AD" w:rsidRPr="004E7F31" w:rsidRDefault="008D61AD" w:rsidP="00431C3A">
      <w:pPr>
        <w:spacing w:before="0" w:after="0" w:line="240" w:lineRule="auto"/>
        <w:rPr>
          <w:rFonts w:cs="Arial"/>
        </w:rPr>
      </w:pPr>
      <w:r w:rsidRPr="004E7F31">
        <w:rPr>
          <w:rFonts w:cs="Arial"/>
        </w:rPr>
        <w:t>Et: Error típico.</w:t>
      </w:r>
    </w:p>
    <w:p w:rsidR="00431C3A" w:rsidRDefault="00431C3A" w:rsidP="00431C3A">
      <w:pPr>
        <w:spacing w:before="0" w:after="0"/>
        <w:rPr>
          <w:rFonts w:cs="Arial"/>
          <w:bCs/>
        </w:rPr>
      </w:pPr>
    </w:p>
    <w:p w:rsidR="008D61AD" w:rsidRDefault="008D61AD" w:rsidP="00431C3A">
      <w:pPr>
        <w:spacing w:before="0" w:after="0"/>
        <w:rPr>
          <w:rFonts w:cs="Arial"/>
          <w:bCs/>
        </w:rPr>
      </w:pPr>
      <w:bookmarkStart w:id="0" w:name="_GoBack"/>
      <w:bookmarkEnd w:id="0"/>
      <w:r w:rsidRPr="004E7F31">
        <w:rPr>
          <w:rFonts w:cs="Arial"/>
          <w:bCs/>
        </w:rPr>
        <w:t>Tabla 5. Comportamiento de los diferenciales de pH de las diferentes proporciones del líquido residual del ablandamiento del grano de soya.</w:t>
      </w:r>
    </w:p>
    <w:tbl>
      <w:tblPr>
        <w:tblW w:w="8222" w:type="dxa"/>
        <w:tblInd w:w="250" w:type="dxa"/>
        <w:tblCellMar>
          <w:left w:w="0" w:type="dxa"/>
          <w:right w:w="0" w:type="dxa"/>
        </w:tblCellMar>
        <w:tblLook w:val="04A0"/>
      </w:tblPr>
      <w:tblGrid>
        <w:gridCol w:w="1774"/>
        <w:gridCol w:w="1638"/>
        <w:gridCol w:w="1234"/>
        <w:gridCol w:w="1245"/>
        <w:gridCol w:w="1164"/>
        <w:gridCol w:w="1167"/>
      </w:tblGrid>
      <w:tr w:rsidR="008D61AD" w:rsidRPr="004E7F31" w:rsidTr="00A1180C">
        <w:trPr>
          <w:trHeight w:val="392"/>
        </w:trPr>
        <w:tc>
          <w:tcPr>
            <w:tcW w:w="1847" w:type="dxa"/>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Tratamiento </w:t>
            </w:r>
          </w:p>
        </w:tc>
        <w:tc>
          <w:tcPr>
            <w:tcW w:w="6375" w:type="dxa"/>
            <w:gridSpan w:val="5"/>
            <w:tcBorders>
              <w:top w:val="single" w:sz="4" w:space="0" w:color="auto"/>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Medias de diferenciales pH</w:t>
            </w:r>
          </w:p>
        </w:tc>
      </w:tr>
      <w:tr w:rsidR="008D61AD" w:rsidRPr="004E7F31" w:rsidTr="00A1180C">
        <w:trPr>
          <w:trHeight w:val="392"/>
        </w:trPr>
        <w:tc>
          <w:tcPr>
            <w:tcW w:w="1847"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i/>
                <w:iCs/>
                <w:lang w:val="es-ES_tradnl"/>
              </w:rPr>
              <w:t>SQ</w:t>
            </w:r>
            <w:r w:rsidRPr="004E7F31">
              <w:rPr>
                <w:rFonts w:cs="Arial"/>
                <w:lang w:val="es-ES_tradnl"/>
              </w:rPr>
              <w:t xml:space="preserve"> +</w:t>
            </w:r>
            <w:r w:rsidRPr="004E7F31">
              <w:rPr>
                <w:rFonts w:cs="Arial"/>
              </w:rPr>
              <w:t xml:space="preserve"> RLS</w:t>
            </w:r>
          </w:p>
        </w:tc>
        <w:tc>
          <w:tcPr>
            <w:tcW w:w="1311"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T-12</w:t>
            </w:r>
          </w:p>
        </w:tc>
        <w:tc>
          <w:tcPr>
            <w:tcW w:w="1309"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T-24</w:t>
            </w:r>
          </w:p>
        </w:tc>
        <w:tc>
          <w:tcPr>
            <w:tcW w:w="1311"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T-36</w:t>
            </w:r>
          </w:p>
        </w:tc>
        <w:tc>
          <w:tcPr>
            <w:tcW w:w="1220"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T-48</w:t>
            </w:r>
          </w:p>
        </w:tc>
        <w:tc>
          <w:tcPr>
            <w:tcW w:w="1224" w:type="dxa"/>
            <w:tcBorders>
              <w:top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T-60</w:t>
            </w:r>
          </w:p>
        </w:tc>
      </w:tr>
      <w:tr w:rsidR="008D61AD" w:rsidRPr="004E7F31" w:rsidTr="00A1180C">
        <w:trPr>
          <w:trHeight w:val="608"/>
        </w:trPr>
        <w:tc>
          <w:tcPr>
            <w:tcW w:w="184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1- </w:t>
            </w:r>
            <w:r w:rsidRPr="004E7F31">
              <w:rPr>
                <w:rFonts w:cs="Arial"/>
              </w:rPr>
              <w:t xml:space="preserve">50 % </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0,553</w:t>
            </w:r>
            <w:r w:rsidRPr="004E7F31">
              <w:rPr>
                <w:rFonts w:cs="Arial"/>
                <w:vertAlign w:val="superscript"/>
                <w:lang w:val="es-ES_tradnl"/>
              </w:rPr>
              <w:t>b</w:t>
            </w:r>
            <w:r w:rsidRPr="004E7F31">
              <w:rPr>
                <w:rFonts w:cs="Arial"/>
              </w:rPr>
              <w:t>±0.032</w:t>
            </w:r>
          </w:p>
        </w:tc>
        <w:tc>
          <w:tcPr>
            <w:tcW w:w="130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0,633</w:t>
            </w:r>
            <w:r w:rsidRPr="004E7F31">
              <w:rPr>
                <w:rFonts w:cs="Arial"/>
                <w:vertAlign w:val="superscript"/>
                <w:lang w:val="es-ES_tradnl"/>
              </w:rPr>
              <w:t xml:space="preserve">a </w:t>
            </w:r>
            <w:r w:rsidRPr="004E7F31">
              <w:rPr>
                <w:rFonts w:cs="Arial"/>
              </w:rPr>
              <w:lastRenderedPageBreak/>
              <w:t>±0.005</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lastRenderedPageBreak/>
              <w:t>0,873</w:t>
            </w:r>
            <w:r w:rsidRPr="004E7F31">
              <w:rPr>
                <w:rFonts w:cs="Arial"/>
                <w:vertAlign w:val="superscript"/>
                <w:lang w:val="es-ES_tradnl"/>
              </w:rPr>
              <w:t xml:space="preserve">a </w:t>
            </w:r>
            <w:r w:rsidRPr="004E7F31">
              <w:rPr>
                <w:rFonts w:cs="Arial"/>
              </w:rPr>
              <w:lastRenderedPageBreak/>
              <w:t>±0.015</w:t>
            </w:r>
          </w:p>
        </w:tc>
        <w:tc>
          <w:tcPr>
            <w:tcW w:w="122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lastRenderedPageBreak/>
              <w:t>0,970</w:t>
            </w:r>
            <w:r w:rsidRPr="004E7F31">
              <w:rPr>
                <w:rFonts w:cs="Arial"/>
                <w:vertAlign w:val="superscript"/>
                <w:lang w:val="es-ES_tradnl"/>
              </w:rPr>
              <w:t xml:space="preserve">a </w:t>
            </w:r>
            <w:r w:rsidRPr="004E7F31">
              <w:rPr>
                <w:rFonts w:cs="Arial"/>
              </w:rPr>
              <w:lastRenderedPageBreak/>
              <w:t>±0.061</w:t>
            </w:r>
          </w:p>
        </w:tc>
        <w:tc>
          <w:tcPr>
            <w:tcW w:w="1224"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lastRenderedPageBreak/>
              <w:t>1,127</w:t>
            </w:r>
            <w:r w:rsidRPr="004E7F31">
              <w:rPr>
                <w:rFonts w:cs="Arial"/>
                <w:vertAlign w:val="superscript"/>
                <w:lang w:val="es-ES_tradnl"/>
              </w:rPr>
              <w:t xml:space="preserve">a </w:t>
            </w:r>
            <w:r w:rsidRPr="004E7F31">
              <w:rPr>
                <w:rFonts w:cs="Arial"/>
              </w:rPr>
              <w:lastRenderedPageBreak/>
              <w:t>±0.031</w:t>
            </w:r>
          </w:p>
        </w:tc>
      </w:tr>
      <w:tr w:rsidR="008D61AD" w:rsidRPr="004E7F31" w:rsidTr="00A1180C">
        <w:trPr>
          <w:trHeight w:val="392"/>
        </w:trPr>
        <w:tc>
          <w:tcPr>
            <w:tcW w:w="184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lastRenderedPageBreak/>
              <w:t xml:space="preserve">2- </w:t>
            </w:r>
            <w:r w:rsidRPr="004E7F31">
              <w:rPr>
                <w:rFonts w:cs="Arial"/>
              </w:rPr>
              <w:t xml:space="preserve">75 % </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0,500</w:t>
            </w:r>
            <w:r w:rsidRPr="004E7F31">
              <w:rPr>
                <w:rFonts w:cs="Arial"/>
                <w:vertAlign w:val="superscript"/>
                <w:lang w:val="es-ES_tradnl"/>
              </w:rPr>
              <w:t xml:space="preserve">b </w:t>
            </w:r>
            <w:r w:rsidRPr="004E7F31">
              <w:rPr>
                <w:rFonts w:cs="Arial"/>
              </w:rPr>
              <w:t>±0.079</w:t>
            </w:r>
          </w:p>
        </w:tc>
        <w:tc>
          <w:tcPr>
            <w:tcW w:w="130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0,803</w:t>
            </w:r>
            <w:r w:rsidRPr="004E7F31">
              <w:rPr>
                <w:rFonts w:cs="Arial"/>
                <w:vertAlign w:val="superscript"/>
                <w:lang w:val="es-ES_tradnl"/>
              </w:rPr>
              <w:t xml:space="preserve">b </w:t>
            </w:r>
            <w:r w:rsidRPr="004E7F31">
              <w:rPr>
                <w:rFonts w:cs="Arial"/>
              </w:rPr>
              <w:t>±0.015</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1,163</w:t>
            </w:r>
            <w:r w:rsidRPr="004E7F31">
              <w:rPr>
                <w:rFonts w:cs="Arial"/>
                <w:vertAlign w:val="superscript"/>
                <w:lang w:val="es-ES_tradnl"/>
              </w:rPr>
              <w:t xml:space="preserve">ab </w:t>
            </w:r>
            <w:r w:rsidRPr="004E7F31">
              <w:rPr>
                <w:rFonts w:cs="Arial"/>
              </w:rPr>
              <w:t>±0.012</w:t>
            </w:r>
          </w:p>
        </w:tc>
        <w:tc>
          <w:tcPr>
            <w:tcW w:w="122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1,203</w:t>
            </w:r>
            <w:r w:rsidRPr="004E7F31">
              <w:rPr>
                <w:rFonts w:cs="Arial"/>
                <w:vertAlign w:val="superscript"/>
                <w:lang w:val="es-ES_tradnl"/>
              </w:rPr>
              <w:t xml:space="preserve">b </w:t>
            </w:r>
            <w:r w:rsidRPr="004E7F31">
              <w:rPr>
                <w:rFonts w:cs="Arial"/>
              </w:rPr>
              <w:t>±0.047</w:t>
            </w:r>
          </w:p>
        </w:tc>
        <w:tc>
          <w:tcPr>
            <w:tcW w:w="1224"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1,393</w:t>
            </w:r>
            <w:r w:rsidRPr="004E7F31">
              <w:rPr>
                <w:rFonts w:cs="Arial"/>
                <w:vertAlign w:val="superscript"/>
                <w:lang w:val="es-ES_tradnl"/>
              </w:rPr>
              <w:t xml:space="preserve">c </w:t>
            </w:r>
            <w:r w:rsidRPr="004E7F31">
              <w:rPr>
                <w:rFonts w:cs="Arial"/>
              </w:rPr>
              <w:t>±0.032</w:t>
            </w:r>
          </w:p>
        </w:tc>
      </w:tr>
      <w:tr w:rsidR="008D61AD" w:rsidRPr="004E7F31" w:rsidTr="00A1180C">
        <w:trPr>
          <w:trHeight w:val="392"/>
        </w:trPr>
        <w:tc>
          <w:tcPr>
            <w:tcW w:w="184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 xml:space="preserve">3- </w:t>
            </w:r>
            <w:r w:rsidRPr="004E7F31">
              <w:rPr>
                <w:rFonts w:cs="Arial"/>
              </w:rPr>
              <w:t xml:space="preserve">90 % </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0,470</w:t>
            </w:r>
            <w:r w:rsidRPr="004E7F31">
              <w:rPr>
                <w:rFonts w:cs="Arial"/>
                <w:vertAlign w:val="superscript"/>
                <w:lang w:val="es-ES_tradnl"/>
              </w:rPr>
              <w:t xml:space="preserve">b </w:t>
            </w:r>
            <w:r w:rsidRPr="004E7F31">
              <w:rPr>
                <w:rFonts w:cs="Arial"/>
              </w:rPr>
              <w:t>±0.036</w:t>
            </w:r>
          </w:p>
        </w:tc>
        <w:tc>
          <w:tcPr>
            <w:tcW w:w="130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0,853</w:t>
            </w:r>
            <w:r w:rsidRPr="004E7F31">
              <w:rPr>
                <w:rFonts w:cs="Arial"/>
                <w:vertAlign w:val="superscript"/>
                <w:lang w:val="es-ES_tradnl"/>
              </w:rPr>
              <w:t xml:space="preserve">b </w:t>
            </w:r>
            <w:r w:rsidRPr="004E7F31">
              <w:rPr>
                <w:rFonts w:cs="Arial"/>
              </w:rPr>
              <w:t>±0.057</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1,010</w:t>
            </w:r>
            <w:r w:rsidRPr="004E7F31">
              <w:rPr>
                <w:rFonts w:cs="Arial"/>
                <w:vertAlign w:val="superscript"/>
                <w:lang w:val="es-ES_tradnl"/>
              </w:rPr>
              <w:t xml:space="preserve">ab </w:t>
            </w:r>
            <w:r w:rsidRPr="004E7F31">
              <w:rPr>
                <w:rFonts w:cs="Arial"/>
              </w:rPr>
              <w:t>±0.581</w:t>
            </w:r>
          </w:p>
        </w:tc>
        <w:tc>
          <w:tcPr>
            <w:tcW w:w="122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1,477</w:t>
            </w:r>
            <w:r w:rsidRPr="004E7F31">
              <w:rPr>
                <w:rFonts w:cs="Arial"/>
                <w:vertAlign w:val="superscript"/>
                <w:lang w:val="es-ES_tradnl"/>
              </w:rPr>
              <w:t xml:space="preserve">c </w:t>
            </w:r>
            <w:r w:rsidRPr="004E7F31">
              <w:rPr>
                <w:rFonts w:cs="Arial"/>
              </w:rPr>
              <w:t>±0.075</w:t>
            </w:r>
          </w:p>
        </w:tc>
        <w:tc>
          <w:tcPr>
            <w:tcW w:w="1224"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1,477</w:t>
            </w:r>
            <w:r w:rsidRPr="004E7F31">
              <w:rPr>
                <w:rFonts w:cs="Arial"/>
                <w:vertAlign w:val="superscript"/>
                <w:lang w:val="es-ES_tradnl"/>
              </w:rPr>
              <w:t xml:space="preserve">c </w:t>
            </w:r>
            <w:r w:rsidRPr="004E7F31">
              <w:rPr>
                <w:rFonts w:cs="Arial"/>
              </w:rPr>
              <w:t>±0.030</w:t>
            </w:r>
          </w:p>
        </w:tc>
      </w:tr>
      <w:tr w:rsidR="008D61AD" w:rsidRPr="004E7F31" w:rsidTr="00A1180C">
        <w:trPr>
          <w:trHeight w:val="392"/>
        </w:trPr>
        <w:tc>
          <w:tcPr>
            <w:tcW w:w="1847"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4-</w:t>
            </w:r>
            <w:r w:rsidRPr="004E7F31">
              <w:rPr>
                <w:rFonts w:cs="Arial"/>
              </w:rPr>
              <w:t>100 %</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0,337</w:t>
            </w:r>
            <w:r w:rsidRPr="004E7F31">
              <w:rPr>
                <w:rFonts w:cs="Arial"/>
                <w:vertAlign w:val="superscript"/>
                <w:lang w:val="es-ES_tradnl"/>
              </w:rPr>
              <w:t xml:space="preserve">ab </w:t>
            </w:r>
            <w:r w:rsidRPr="004E7F31">
              <w:rPr>
                <w:rFonts w:cs="Arial"/>
              </w:rPr>
              <w:t>±0.081</w:t>
            </w:r>
          </w:p>
        </w:tc>
        <w:tc>
          <w:tcPr>
            <w:tcW w:w="1309"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0,880</w:t>
            </w:r>
            <w:r w:rsidRPr="004E7F31">
              <w:rPr>
                <w:rFonts w:cs="Arial"/>
                <w:vertAlign w:val="superscript"/>
                <w:lang w:val="es-ES_tradnl"/>
              </w:rPr>
              <w:t xml:space="preserve">b </w:t>
            </w:r>
            <w:r w:rsidRPr="004E7F31">
              <w:rPr>
                <w:rFonts w:cs="Arial"/>
              </w:rPr>
              <w:t>±0.050</w:t>
            </w:r>
          </w:p>
        </w:tc>
        <w:tc>
          <w:tcPr>
            <w:tcW w:w="1311"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1,173</w:t>
            </w:r>
            <w:r w:rsidRPr="004E7F31">
              <w:rPr>
                <w:rFonts w:cs="Arial"/>
                <w:vertAlign w:val="superscript"/>
                <w:lang w:val="es-ES_tradnl"/>
              </w:rPr>
              <w:t xml:space="preserve">ab </w:t>
            </w:r>
            <w:r w:rsidRPr="004E7F31">
              <w:rPr>
                <w:rFonts w:cs="Arial"/>
              </w:rPr>
              <w:t>±0.055</w:t>
            </w:r>
          </w:p>
        </w:tc>
        <w:tc>
          <w:tcPr>
            <w:tcW w:w="1220"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1,240</w:t>
            </w:r>
            <w:r w:rsidRPr="004E7F31">
              <w:rPr>
                <w:rFonts w:cs="Arial"/>
                <w:vertAlign w:val="superscript"/>
                <w:lang w:val="es-ES_tradnl"/>
              </w:rPr>
              <w:t xml:space="preserve">b </w:t>
            </w:r>
            <w:r w:rsidRPr="004E7F31">
              <w:rPr>
                <w:rFonts w:cs="Arial"/>
              </w:rPr>
              <w:t>±0.026</w:t>
            </w:r>
          </w:p>
        </w:tc>
        <w:tc>
          <w:tcPr>
            <w:tcW w:w="1224" w:type="dxa"/>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1,247</w:t>
            </w:r>
            <w:r w:rsidRPr="004E7F31">
              <w:rPr>
                <w:rFonts w:cs="Arial"/>
                <w:vertAlign w:val="superscript"/>
                <w:lang w:val="es-ES_tradnl"/>
              </w:rPr>
              <w:t xml:space="preserve">b </w:t>
            </w:r>
            <w:r w:rsidRPr="004E7F31">
              <w:rPr>
                <w:rFonts w:cs="Arial"/>
              </w:rPr>
              <w:t>±0.038</w:t>
            </w:r>
          </w:p>
        </w:tc>
      </w:tr>
      <w:tr w:rsidR="008D61AD" w:rsidRPr="004E7F31" w:rsidTr="00A1180C">
        <w:trPr>
          <w:trHeight w:val="392"/>
        </w:trPr>
        <w:tc>
          <w:tcPr>
            <w:tcW w:w="1847"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5- LS</w:t>
            </w:r>
          </w:p>
        </w:tc>
        <w:tc>
          <w:tcPr>
            <w:tcW w:w="1311"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0,183</w:t>
            </w:r>
            <w:r w:rsidRPr="004E7F31">
              <w:rPr>
                <w:rFonts w:cs="Arial"/>
                <w:vertAlign w:val="superscript"/>
                <w:lang w:val="es-ES_tradnl"/>
              </w:rPr>
              <w:t xml:space="preserve">a </w:t>
            </w:r>
            <w:r w:rsidRPr="004E7F31">
              <w:rPr>
                <w:rFonts w:cs="Arial"/>
              </w:rPr>
              <w:t>±0.144</w:t>
            </w:r>
          </w:p>
        </w:tc>
        <w:tc>
          <w:tcPr>
            <w:tcW w:w="1309"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1,127</w:t>
            </w:r>
            <w:r w:rsidRPr="004E7F31">
              <w:rPr>
                <w:rFonts w:cs="Arial"/>
                <w:vertAlign w:val="superscript"/>
                <w:lang w:val="es-ES_tradnl"/>
              </w:rPr>
              <w:t xml:space="preserve">c </w:t>
            </w:r>
            <w:r w:rsidRPr="004E7F31">
              <w:rPr>
                <w:rFonts w:cs="Arial"/>
              </w:rPr>
              <w:t>±0.102</w:t>
            </w:r>
          </w:p>
        </w:tc>
        <w:tc>
          <w:tcPr>
            <w:tcW w:w="1311"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1,597</w:t>
            </w:r>
            <w:r w:rsidRPr="004E7F31">
              <w:rPr>
                <w:rFonts w:cs="Arial"/>
                <w:vertAlign w:val="superscript"/>
                <w:lang w:val="es-ES_tradnl"/>
              </w:rPr>
              <w:t xml:space="preserve">b </w:t>
            </w:r>
            <w:r w:rsidRPr="004E7F31">
              <w:rPr>
                <w:rFonts w:cs="Arial"/>
              </w:rPr>
              <w:t>±0.038</w:t>
            </w:r>
          </w:p>
        </w:tc>
        <w:tc>
          <w:tcPr>
            <w:tcW w:w="1220"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1,730</w:t>
            </w:r>
            <w:r w:rsidRPr="004E7F31">
              <w:rPr>
                <w:rFonts w:cs="Arial"/>
                <w:vertAlign w:val="superscript"/>
                <w:lang w:val="es-ES_tradnl"/>
              </w:rPr>
              <w:t xml:space="preserve">d </w:t>
            </w:r>
            <w:r w:rsidRPr="004E7F31">
              <w:rPr>
                <w:rFonts w:cs="Arial"/>
              </w:rPr>
              <w:t>±0.026</w:t>
            </w:r>
          </w:p>
        </w:tc>
        <w:tc>
          <w:tcPr>
            <w:tcW w:w="1224" w:type="dxa"/>
            <w:tcBorders>
              <w:bottom w:val="single" w:sz="4" w:space="0" w:color="auto"/>
            </w:tcBorders>
            <w:shd w:val="clear" w:color="auto" w:fill="auto"/>
            <w:tcMar>
              <w:top w:w="15" w:type="dxa"/>
              <w:left w:w="108" w:type="dxa"/>
              <w:bottom w:w="0" w:type="dxa"/>
              <w:right w:w="108" w:type="dxa"/>
            </w:tcMar>
            <w:hideMark/>
          </w:tcPr>
          <w:p w:rsidR="008D61AD" w:rsidRPr="004E7F31" w:rsidRDefault="008D61AD" w:rsidP="00431C3A">
            <w:pPr>
              <w:spacing w:before="0" w:after="0"/>
              <w:rPr>
                <w:rFonts w:cs="Arial"/>
              </w:rPr>
            </w:pPr>
            <w:r w:rsidRPr="004E7F31">
              <w:rPr>
                <w:rFonts w:cs="Arial"/>
                <w:lang w:val="es-ES_tradnl"/>
              </w:rPr>
              <w:t>1,817</w:t>
            </w:r>
            <w:r w:rsidRPr="004E7F31">
              <w:rPr>
                <w:rFonts w:cs="Arial"/>
                <w:vertAlign w:val="superscript"/>
                <w:lang w:val="es-ES_tradnl"/>
              </w:rPr>
              <w:t xml:space="preserve">d </w:t>
            </w:r>
            <w:r w:rsidRPr="004E7F31">
              <w:rPr>
                <w:rFonts w:cs="Arial"/>
              </w:rPr>
              <w:t>±0.029</w:t>
            </w:r>
          </w:p>
        </w:tc>
      </w:tr>
    </w:tbl>
    <w:p w:rsidR="008D61AD" w:rsidRPr="004E7F31" w:rsidRDefault="008D61AD" w:rsidP="00431C3A">
      <w:pPr>
        <w:spacing w:before="0" w:after="0" w:line="240" w:lineRule="auto"/>
        <w:rPr>
          <w:rFonts w:cs="Arial"/>
        </w:rPr>
      </w:pPr>
      <w:r w:rsidRPr="004E7F31">
        <w:rPr>
          <w:rFonts w:cs="Arial"/>
        </w:rPr>
        <w:t xml:space="preserve">LEYENDA: Las letras desiguales en la misma columna difieren para p&lt; 0.05. </w:t>
      </w:r>
    </w:p>
    <w:p w:rsidR="008D61AD" w:rsidRPr="004E7F31" w:rsidRDefault="008D61AD" w:rsidP="00431C3A">
      <w:pPr>
        <w:spacing w:before="0" w:after="0" w:line="240" w:lineRule="auto"/>
        <w:rPr>
          <w:rFonts w:cs="Arial"/>
        </w:rPr>
      </w:pPr>
      <w:r w:rsidRPr="004E7F31">
        <w:rPr>
          <w:rFonts w:cs="Arial"/>
        </w:rPr>
        <w:t>Et: Error típico.</w:t>
      </w:r>
    </w:p>
    <w:p w:rsidR="008D61AD" w:rsidRPr="004E7F31" w:rsidRDefault="008D61AD" w:rsidP="008D61AD">
      <w:pPr>
        <w:rPr>
          <w:rFonts w:cs="Arial"/>
        </w:rPr>
      </w:pPr>
      <w:r w:rsidRPr="004E7F31">
        <w:rPr>
          <w:rFonts w:cs="Arial"/>
        </w:rPr>
        <w:t>A  partir de las diferentes concentraciones se puede apreciar, que el factor de mayor influencia en la variable respuesta fue la concentración de suero lácteo, lo cual indica que los niveles de  lactosa que se utilizaron afectan el nivel de actividad microbiana.</w:t>
      </w:r>
    </w:p>
    <w:p w:rsidR="008D61AD" w:rsidRPr="004E7F31" w:rsidRDefault="008D61AD" w:rsidP="008D61AD">
      <w:pPr>
        <w:rPr>
          <w:rFonts w:cs="Arial"/>
        </w:rPr>
      </w:pPr>
      <w:r w:rsidRPr="004E7F31">
        <w:rPr>
          <w:rFonts w:cs="Arial"/>
        </w:rPr>
        <w:t xml:space="preserve">Los lactobacilos requieren medios complejos con diversos aminoácidos, vitaminas, factores de crecimiento y carbohidratos fermentables que estimulan su crecimiento.  La formulación del nuevo medio natural se condujo principalmente para la utilización del  residual de la línea de ablandamiento del grano de soya que posee alta concentración de  nutrientes </w:t>
      </w:r>
      <w:r w:rsidR="000C3851" w:rsidRPr="004E7F31">
        <w:rPr>
          <w:rFonts w:cs="Arial"/>
        </w:rPr>
        <w:fldChar w:fldCharType="begin"/>
      </w:r>
      <w:r w:rsidRPr="004E7F31">
        <w:rPr>
          <w:rFonts w:cs="Arial"/>
        </w:rPr>
        <w:instrText xml:space="preserve"> ADDIN EN.CITE &lt;EndNote&gt;&lt;Cite&gt;&lt;Author&gt;Serventi&lt;/Author&gt;&lt;Year&gt;2020&lt;/Year&gt;&lt;RecNum&gt;68&lt;/RecNum&gt;&lt;DisplayText&gt;(Serventi, 2020)&lt;/DisplayText&gt;&lt;record&gt;&lt;rec-number&gt;68&lt;/rec-number&gt;&lt;foreign-keys&gt;&lt;key app="EN" db-id="90arevp2p9ae2tezfzjva2x2ae9vrrsdff99" timestamp="1604337352"&gt;68&lt;/key&gt;&lt;/foreign-keys&gt;&lt;ref-type name="Book Section"&gt;5&lt;/ref-type&gt;&lt;contributors&gt;&lt;authors&gt;&lt;author&gt;Serventi, Luca&lt;/author&gt;&lt;/authors&gt;&lt;/contributors&gt;&lt;titles&gt;&lt;title&gt;Soaking Water Composition&lt;/title&gt;&lt;secondary-title&gt;Upcycling Legume Water: from wastewater to food ingredients&lt;/secondary-title&gt;&lt;/titles&gt;&lt;pages&gt;27-39&lt;/pages&gt;&lt;dates&gt;&lt;year&gt;2020&lt;/year&gt;&lt;/dates&gt;&lt;publisher&gt;Springer&lt;/publisher&gt;&lt;urls&gt;&lt;/urls&gt;&lt;/record&gt;&lt;/Cite&gt;&lt;/EndNote&gt;</w:instrText>
      </w:r>
      <w:r w:rsidR="000C3851" w:rsidRPr="004E7F31">
        <w:rPr>
          <w:rFonts w:cs="Arial"/>
        </w:rPr>
        <w:fldChar w:fldCharType="separate"/>
      </w:r>
      <w:r w:rsidRPr="004E7F31">
        <w:rPr>
          <w:rFonts w:cs="Arial"/>
          <w:noProof/>
        </w:rPr>
        <w:t>(Serventi, 2020)</w:t>
      </w:r>
      <w:r w:rsidR="000C3851" w:rsidRPr="004E7F31">
        <w:rPr>
          <w:rFonts w:cs="Arial"/>
        </w:rPr>
        <w:fldChar w:fldCharType="end"/>
      </w:r>
      <w:r w:rsidRPr="004E7F31">
        <w:rPr>
          <w:rFonts w:cs="Arial"/>
        </w:rPr>
        <w:t xml:space="preserve"> con la inclusión de fuentes de carbohidratos y demás componentes del suero lácteo </w:t>
      </w:r>
      <w:r w:rsidR="000C3851" w:rsidRPr="004E7F31">
        <w:rPr>
          <w:rFonts w:cs="Arial"/>
        </w:rPr>
        <w:fldChar w:fldCharType="begin"/>
      </w:r>
      <w:r w:rsidRPr="004E7F31">
        <w:rPr>
          <w:rFonts w:cs="Arial"/>
        </w:rPr>
        <w:instrText xml:space="preserve"> ADDIN EN.CITE &lt;EndNote&gt;&lt;Cite&gt;&lt;Author&gt;Gómez&lt;/Author&gt;&lt;Year&gt;2018&lt;/Year&gt;&lt;RecNum&gt;291&lt;/RecNum&gt;&lt;DisplayText&gt;(Gómez, M’Boumba, &amp;amp; Hernández, 2018)&lt;/DisplayText&gt;&lt;record&gt;&lt;rec-number&gt;291&lt;/rec-number&gt;&lt;foreign-keys&gt;&lt;key app="EN" db-id="ze2d9dv22rpfwteexpaxpe0rzxsa0ertaz5p" timestamp="1604758560"&gt;291&lt;/key&gt;&lt;/foreign-keys&gt;&lt;ref-type name="Journal Article"&gt;17&lt;/ref-type&gt;&lt;contributors&gt;&lt;authors&gt;&lt;author&gt;Gómez, Mayte&lt;/author&gt;&lt;author&gt;M’Boumba, Aniely&lt;/author&gt;&lt;author&gt;Hernández, Osmar&lt;/author&gt;&lt;/authors&gt;&lt;/contributors&gt;&lt;titles&gt;&lt;title&gt;Aprovechamiento de suero de queso en yogur de soya: Use of cheese whey in soy yogurt&lt;/title&gt;&lt;secondary-title&gt;Ciencia y Tecnología de Alimentos&lt;/secondary-title&gt;&lt;/titles&gt;&lt;periodical&gt;&lt;full-title&gt;Ciencia y Tecnología de Alimentos&lt;/full-title&gt;&lt;/periodical&gt;&lt;pages&gt;32-35&lt;/pages&gt;&lt;volume&gt;28&lt;/volume&gt;&lt;number&gt;1&lt;/number&gt;&lt;dates&gt;&lt;year&gt;2018&lt;/year&gt;&lt;/dates&gt;&lt;isbn&gt;1816-7721&lt;/isbn&gt;&lt;urls&gt;&lt;/urls&gt;&lt;/record&gt;&lt;/Cite&gt;&lt;/EndNote&gt;</w:instrText>
      </w:r>
      <w:r w:rsidR="000C3851" w:rsidRPr="004E7F31">
        <w:rPr>
          <w:rFonts w:cs="Arial"/>
        </w:rPr>
        <w:fldChar w:fldCharType="separate"/>
      </w:r>
      <w:r w:rsidRPr="004E7F31">
        <w:rPr>
          <w:rFonts w:cs="Arial"/>
          <w:noProof/>
        </w:rPr>
        <w:t>(Gómez, M’Boumba, &amp; Hernández, 2018)</w:t>
      </w:r>
      <w:r w:rsidR="000C3851" w:rsidRPr="004E7F31">
        <w:rPr>
          <w:rFonts w:cs="Arial"/>
        </w:rPr>
        <w:fldChar w:fldCharType="end"/>
      </w:r>
      <w:r w:rsidRPr="004E7F31">
        <w:rPr>
          <w:rFonts w:cs="Arial"/>
        </w:rPr>
        <w:t>.  Este  aporte  se  realiza  para  el incremento de los microorganismos probióticos (Lactobacillus), quienes necesitan estos nutrientes para su rápido crecimiento.</w:t>
      </w:r>
    </w:p>
    <w:p w:rsidR="008D61AD" w:rsidRPr="004E7F31" w:rsidRDefault="008D61AD" w:rsidP="008D61AD">
      <w:pPr>
        <w:rPr>
          <w:rFonts w:cs="Arial"/>
        </w:rPr>
      </w:pPr>
      <w:r w:rsidRPr="004E7F31">
        <w:rPr>
          <w:rFonts w:cs="Arial"/>
        </w:rPr>
        <w:t xml:space="preserve">Se conoce que el suero lácteo posee en su composición lactosa (3.8-4.3 %); estos carbohidratos  aportan  altas  concentraciones  de  azúcares,  los  cuales pueden utilizarse  por  los  microorganismos  como  fuente  de  energía </w:t>
      </w:r>
      <w:r w:rsidR="000C3851" w:rsidRPr="004E7F31">
        <w:rPr>
          <w:rFonts w:cs="Arial"/>
        </w:rPr>
        <w:fldChar w:fldCharType="begin"/>
      </w:r>
      <w:r w:rsidRPr="004E7F31">
        <w:rPr>
          <w:rFonts w:cs="Arial"/>
        </w:rPr>
        <w:instrText xml:space="preserve"> ADDIN EN.CITE &lt;EndNote&gt;&lt;Cite&gt;&lt;Author&gt;Nyokabi&lt;/Author&gt;&lt;Year&gt;2021&lt;/Year&gt;&lt;RecNum&gt;231&lt;/RecNum&gt;&lt;DisplayText&gt;(Nyokabi et al., 2021)&lt;/DisplayText&gt;&lt;record&gt;&lt;rec-number&gt;231&lt;/rec-number&gt;&lt;foreign-keys&gt;&lt;key app="EN" db-id="ef0zwwpfxz5ardeaaw0vttwzdzeetx0s0szs" timestamp="1624436980"&gt;231&lt;/key&gt;&lt;/foreign-keys&gt;&lt;ref-type name="Journal Article"&gt;17&lt;/ref-type&gt;&lt;contributors&gt;&lt;authors&gt;&lt;author&gt;Nyokabi, Simon&lt;/author&gt;&lt;author&gt;Luning, Pieternel A&lt;/author&gt;&lt;author&gt;de Boer, Imke JM&lt;/author&gt;&lt;author&gt;Korir, Luke&lt;/author&gt;&lt;author&gt;Muunda, Emmanuel&lt;/author&gt;&lt;author&gt;Bebe, Bockline O&lt;/author&gt;&lt;author&gt;Lindahl, Johanna&lt;/author&gt;&lt;author&gt;Bett, Bernard&lt;/author&gt;&lt;author&gt;Oosting, Simon J&lt;/author&gt;&lt;/authors&gt;&lt;/contributors&gt;&lt;titles&gt;&lt;title&gt;Milk quality and hygiene: knowledge, attitudes and practices of smallholder dairy farmers in central Kenya&lt;/title&gt;&lt;secondary-title&gt;Food Control&lt;/secondary-title&gt;&lt;/titles&gt;&lt;periodical&gt;&lt;full-title&gt;Food Control&lt;/full-title&gt;&lt;/periodical&gt;&lt;pages&gt;108303&lt;/pages&gt;&lt;dates&gt;&lt;year&gt;2021&lt;/year&gt;&lt;/dates&gt;&lt;isbn&gt;0956-7135&lt;/isbn&gt;&lt;urls&gt;&lt;/urls&gt;&lt;/record&gt;&lt;/Cite&gt;&lt;/EndNote&gt;</w:instrText>
      </w:r>
      <w:r w:rsidR="000C3851" w:rsidRPr="004E7F31">
        <w:rPr>
          <w:rFonts w:cs="Arial"/>
        </w:rPr>
        <w:fldChar w:fldCharType="separate"/>
      </w:r>
      <w:r w:rsidRPr="004E7F31">
        <w:rPr>
          <w:rFonts w:cs="Arial"/>
          <w:noProof/>
        </w:rPr>
        <w:t xml:space="preserve">(Nyokabi </w:t>
      </w:r>
      <w:r w:rsidRPr="004E7F31">
        <w:rPr>
          <w:rFonts w:cs="Arial"/>
          <w:i/>
          <w:noProof/>
        </w:rPr>
        <w:t>et al.,</w:t>
      </w:r>
      <w:r w:rsidRPr="004E7F31">
        <w:rPr>
          <w:rFonts w:cs="Arial"/>
          <w:noProof/>
        </w:rPr>
        <w:t xml:space="preserve"> 2021)</w:t>
      </w:r>
      <w:r w:rsidR="000C3851" w:rsidRPr="004E7F31">
        <w:rPr>
          <w:rFonts w:cs="Arial"/>
        </w:rPr>
        <w:fldChar w:fldCharType="end"/>
      </w:r>
      <w:r w:rsidRPr="004E7F31">
        <w:rPr>
          <w:rFonts w:cs="Arial"/>
        </w:rPr>
        <w:t xml:space="preserve">.  Otros  autores  como Miranda  </w:t>
      </w:r>
      <w:r w:rsidRPr="004E7F31">
        <w:rPr>
          <w:rFonts w:cs="Arial"/>
          <w:i/>
        </w:rPr>
        <w:t>et  al.,</w:t>
      </w:r>
      <w:r w:rsidRPr="004E7F31">
        <w:rPr>
          <w:rFonts w:cs="Arial"/>
        </w:rPr>
        <w:t xml:space="preserve">  (2015)  utilizaron  suero  de  queso  dulce  para  el  crecimiento  de  </w:t>
      </w:r>
      <w:r w:rsidRPr="004E7F31">
        <w:rPr>
          <w:rFonts w:cs="Arial"/>
          <w:i/>
        </w:rPr>
        <w:t>L. acidophilus</w:t>
      </w:r>
      <w:r w:rsidRPr="004E7F31">
        <w:rPr>
          <w:rFonts w:cs="Arial"/>
        </w:rPr>
        <w:t xml:space="preserve"> y </w:t>
      </w:r>
      <w:r w:rsidRPr="004E7F31">
        <w:rPr>
          <w:rFonts w:cs="Arial"/>
          <w:i/>
        </w:rPr>
        <w:t>S. thermophilus</w:t>
      </w:r>
      <w:r w:rsidRPr="004E7F31">
        <w:rPr>
          <w:rFonts w:cs="Arial"/>
        </w:rPr>
        <w:t xml:space="preserve">. </w:t>
      </w:r>
    </w:p>
    <w:p w:rsidR="008D61AD" w:rsidRPr="004E7F31" w:rsidRDefault="000C3851" w:rsidP="008D61AD">
      <w:pPr>
        <w:rPr>
          <w:rFonts w:cs="Arial"/>
        </w:rPr>
      </w:pPr>
      <w:r w:rsidRPr="004E7F31">
        <w:rPr>
          <w:rFonts w:cs="Arial"/>
        </w:rPr>
        <w:fldChar w:fldCharType="begin"/>
      </w:r>
      <w:r w:rsidR="008D61AD" w:rsidRPr="004E7F31">
        <w:rPr>
          <w:rFonts w:cs="Arial"/>
        </w:rPr>
        <w:instrText xml:space="preserve"> ADDIN EN.CITE &lt;EndNote&gt;&lt;Cite&gt;&lt;Author&gt;Díaz&lt;/Author&gt;&lt;Year&gt;2019&lt;/Year&gt;&lt;RecNum&gt;13&lt;/RecNum&gt;&lt;DisplayText&gt;(Díaz et al., 2019)&lt;/DisplayText&gt;&lt;record&gt;&lt;rec-number&gt;13&lt;/rec-number&gt;&lt;foreign-keys&gt;&lt;key app="EN" db-id="90arevp2p9ae2tezfzjva2x2ae9vrrsdff99" timestamp="1604336814"&gt;13&lt;/key&gt;&lt;/foreign-keys&gt;&lt;ref-type name="Journal Article"&gt;17&lt;/ref-type&gt;&lt;contributors&gt;&lt;authors&gt;&lt;author&gt;Díaz, José Rodríguez&lt;/author&gt;&lt;author&gt;García, Juan Hernández&lt;/author&gt;&lt;author&gt;Rizzo, Laureano&lt;/author&gt;&lt;/authors&gt;&lt;/contributors&gt;&lt;titles&gt;&lt;title&gt;Evaluación en Cuba de un medio de cultivo alternativo para recuento en placa de Lactobacillus spp&lt;/title&gt;&lt;secondary-title&gt;InfoCiencia&lt;/secondary-title&gt;&lt;/titles&gt;&lt;periodical&gt;&lt;full-title&gt;InfoCiencia&lt;/full-title&gt;&lt;/periodical&gt;&lt;pages&gt;24-35&lt;/pages&gt;&lt;volume&gt;23&lt;/volume&gt;&lt;number&gt;2&lt;/number&gt;&lt;dates&gt;&lt;year&gt;2019&lt;/year&gt;&lt;/dates&gt;&lt;urls&gt;&lt;/urls&gt;&lt;/record&gt;&lt;/Cite&gt;&lt;/EndNote&gt;</w:instrText>
      </w:r>
      <w:r w:rsidRPr="004E7F31">
        <w:rPr>
          <w:rFonts w:cs="Arial"/>
        </w:rPr>
        <w:fldChar w:fldCharType="separate"/>
      </w:r>
      <w:r w:rsidR="008D61AD" w:rsidRPr="004E7F31">
        <w:rPr>
          <w:rFonts w:cs="Arial"/>
          <w:noProof/>
        </w:rPr>
        <w:t xml:space="preserve">(Díaz </w:t>
      </w:r>
      <w:r w:rsidR="008D61AD" w:rsidRPr="004E7F31">
        <w:rPr>
          <w:rFonts w:cs="Arial"/>
          <w:i/>
          <w:noProof/>
        </w:rPr>
        <w:t>et al.,</w:t>
      </w:r>
      <w:r w:rsidR="008D61AD" w:rsidRPr="004E7F31">
        <w:rPr>
          <w:rFonts w:cs="Arial"/>
          <w:noProof/>
        </w:rPr>
        <w:t xml:space="preserve"> 2019)</w:t>
      </w:r>
      <w:r w:rsidRPr="004E7F31">
        <w:rPr>
          <w:rFonts w:cs="Arial"/>
        </w:rPr>
        <w:fldChar w:fldCharType="end"/>
      </w:r>
      <w:r w:rsidR="008D61AD" w:rsidRPr="004E7F31">
        <w:rPr>
          <w:rFonts w:cs="Arial"/>
        </w:rPr>
        <w:t xml:space="preserve"> propuso  un bioproducto utilizando las cepas de  </w:t>
      </w:r>
      <w:r w:rsidR="008D61AD" w:rsidRPr="004E7F31">
        <w:rPr>
          <w:rFonts w:cs="Arial"/>
          <w:i/>
        </w:rPr>
        <w:t>S. thermophilus</w:t>
      </w:r>
      <w:r w:rsidR="008D61AD" w:rsidRPr="004E7F31">
        <w:rPr>
          <w:rFonts w:cs="Arial"/>
        </w:rPr>
        <w:t xml:space="preserve"> SS77  y  </w:t>
      </w:r>
      <w:r w:rsidR="008D61AD" w:rsidRPr="004E7F31">
        <w:rPr>
          <w:rFonts w:cs="Arial"/>
          <w:i/>
        </w:rPr>
        <w:t xml:space="preserve">L. acidophilus </w:t>
      </w:r>
      <w:r w:rsidR="008D61AD" w:rsidRPr="004E7F31">
        <w:rPr>
          <w:rFonts w:cs="Arial"/>
        </w:rPr>
        <w:t xml:space="preserve">SS80 y las mismas mostraron capacidad de crecimiento en los  </w:t>
      </w:r>
      <w:r w:rsidR="008D61AD" w:rsidRPr="004E7F31">
        <w:rPr>
          <w:rFonts w:cs="Arial"/>
        </w:rPr>
        <w:lastRenderedPageBreak/>
        <w:t>medios  a  base  de  leche  de  soya,  aunque  se  hizo  más  abundante  el crecimiento cuando se enriqueció con extracto de levadura.</w:t>
      </w:r>
    </w:p>
    <w:p w:rsidR="008D61AD" w:rsidRPr="004E7F31" w:rsidRDefault="000C3851" w:rsidP="008D61AD">
      <w:pPr>
        <w:rPr>
          <w:rFonts w:cs="Arial"/>
        </w:rPr>
      </w:pPr>
      <w:r w:rsidRPr="004E7F31">
        <w:rPr>
          <w:rFonts w:cs="Arial"/>
        </w:rPr>
        <w:fldChar w:fldCharType="begin"/>
      </w:r>
      <w:r w:rsidR="008D61AD" w:rsidRPr="004E7F31">
        <w:rPr>
          <w:rFonts w:cs="Arial"/>
        </w:rPr>
        <w:instrText xml:space="preserve"> ADDIN EN.CITE &lt;EndNote&gt;&lt;Cite&gt;&lt;Author&gt;Luna&lt;/Author&gt;&lt;Year&gt;2011&lt;/Year&gt;&lt;RecNum&gt;112&lt;/RecNum&gt;&lt;DisplayText&gt;(Luna, Álvarez, &amp;amp; Rivero, 2011)&lt;/DisplayText&gt;&lt;record&gt;&lt;rec-number&gt;112&lt;/rec-number&gt;&lt;foreign-keys&gt;&lt;key app="EN" db-id="90arevp2p9ae2tezfzjva2x2ae9vrrsdff99" timestamp="1604846243"&gt;112&lt;/key&gt;&lt;/foreign-keys&gt;&lt;ref-type name="Journal Article"&gt;17&lt;/ref-type&gt;&lt;contributors&gt;&lt;authors&gt;&lt;author&gt;Luna, Liliana Gómez&lt;/author&gt;&lt;author&gt;Álvarez, Inaudis&lt;/author&gt;&lt;author&gt;Rivero, Roger&lt;/author&gt;&lt;/authors&gt;&lt;/contributors&gt;&lt;titles&gt;&lt;title&gt;Cultivo de Chlorella vulgaris sobre residual de soja con la aplicación de un campo magnético&lt;/title&gt;&lt;secondary-title&gt;Revista Colombiana de Biotecnología&lt;/secondary-title&gt;&lt;/titles&gt;&lt;periodical&gt;&lt;full-title&gt;Revista Colombiana de Biotecnología&lt;/full-title&gt;&lt;/periodical&gt;&lt;pages&gt;27-38&lt;/pages&gt;&lt;volume&gt;13&lt;/volume&gt;&lt;number&gt;2&lt;/number&gt;&lt;dates&gt;&lt;year&gt;2011&lt;/year&gt;&lt;/dates&gt;&lt;isbn&gt;0123-3475&lt;/isbn&gt;&lt;urls&gt;&lt;/urls&gt;&lt;/record&gt;&lt;/Cite&gt;&lt;/EndNote&gt;</w:instrText>
      </w:r>
      <w:r w:rsidRPr="004E7F31">
        <w:rPr>
          <w:rFonts w:cs="Arial"/>
        </w:rPr>
        <w:fldChar w:fldCharType="separate"/>
      </w:r>
      <w:r w:rsidR="008D61AD" w:rsidRPr="004E7F31">
        <w:rPr>
          <w:rFonts w:cs="Arial"/>
          <w:noProof/>
        </w:rPr>
        <w:t xml:space="preserve">Luna </w:t>
      </w:r>
      <w:r w:rsidR="008D61AD" w:rsidRPr="004E7F31">
        <w:rPr>
          <w:rFonts w:cs="Arial"/>
          <w:i/>
          <w:noProof/>
        </w:rPr>
        <w:t>et al.,</w:t>
      </w:r>
      <w:r w:rsidR="008D61AD" w:rsidRPr="004E7F31">
        <w:rPr>
          <w:rFonts w:cs="Arial"/>
          <w:noProof/>
        </w:rPr>
        <w:t xml:space="preserve"> (2011)</w:t>
      </w:r>
      <w:r w:rsidRPr="004E7F31">
        <w:rPr>
          <w:rFonts w:cs="Arial"/>
        </w:rPr>
        <w:fldChar w:fldCharType="end"/>
      </w:r>
      <w:r w:rsidR="008D61AD" w:rsidRPr="004E7F31">
        <w:rPr>
          <w:rFonts w:cs="Arial"/>
        </w:rPr>
        <w:t xml:space="preserve"> estableció una metodología para la  incorporación del residual líquido del  grano  de  soya  para  el  crecimiento  de  micro  algas  con  buenos  resultados. </w:t>
      </w:r>
      <w:proofErr w:type="spellStart"/>
      <w:r w:rsidR="008D61AD" w:rsidRPr="004E7F31">
        <w:rPr>
          <w:rFonts w:cs="Arial"/>
        </w:rPr>
        <w:t>Coghetto</w:t>
      </w:r>
      <w:r w:rsidR="008D61AD" w:rsidRPr="004E7F31">
        <w:rPr>
          <w:rFonts w:cs="Arial"/>
          <w:i/>
        </w:rPr>
        <w:t>et</w:t>
      </w:r>
      <w:proofErr w:type="spellEnd"/>
      <w:r w:rsidR="008D61AD" w:rsidRPr="004E7F31">
        <w:rPr>
          <w:rFonts w:cs="Arial"/>
          <w:i/>
        </w:rPr>
        <w:t xml:space="preserve"> al.,</w:t>
      </w:r>
      <w:r w:rsidR="008D61AD" w:rsidRPr="004E7F31">
        <w:rPr>
          <w:rFonts w:cs="Arial"/>
        </w:rPr>
        <w:t xml:space="preserve"> (2016)  en su investigación sobre el crecimiento y actividad fermentativa de cepas de  </w:t>
      </w:r>
      <w:r w:rsidR="008D61AD" w:rsidRPr="004E7F31">
        <w:rPr>
          <w:rFonts w:cs="Arial"/>
          <w:i/>
        </w:rPr>
        <w:t xml:space="preserve">L. </w:t>
      </w:r>
      <w:proofErr w:type="spellStart"/>
      <w:r w:rsidR="008D61AD" w:rsidRPr="004E7F31">
        <w:rPr>
          <w:rFonts w:cs="Arial"/>
          <w:i/>
        </w:rPr>
        <w:t>plantarum</w:t>
      </w:r>
      <w:proofErr w:type="spellEnd"/>
      <w:r w:rsidR="008D61AD" w:rsidRPr="004E7F31">
        <w:rPr>
          <w:rFonts w:cs="Arial"/>
        </w:rPr>
        <w:t xml:space="preserve"> BL011  aisladas de queso Serrano, utilizó un medio de cultivo alternativo libre de proteína animal donde incluyó residuo líquido ácido de la obtención de proteína de soya. Los  resultados  mostraron  la  posibilidad  de  incluir  ese  sustrato  como  una alternativa  para  producir probióticos, sin ingredientes  derivados  de  animales, logrando obtener concentraciones altas de la biomasa en birreactores con costos minimizados. </w:t>
      </w:r>
    </w:p>
    <w:p w:rsidR="008D61AD" w:rsidRPr="004E7F31" w:rsidRDefault="008D61AD" w:rsidP="008D61AD">
      <w:pPr>
        <w:rPr>
          <w:rFonts w:cs="Arial"/>
        </w:rPr>
      </w:pPr>
      <w:proofErr w:type="spellStart"/>
      <w:r w:rsidRPr="004E7F31">
        <w:rPr>
          <w:rFonts w:cs="Arial"/>
        </w:rPr>
        <w:t>Beret</w:t>
      </w:r>
      <w:proofErr w:type="spellEnd"/>
      <w:r w:rsidRPr="004E7F31">
        <w:rPr>
          <w:rFonts w:cs="Arial"/>
        </w:rPr>
        <w:t xml:space="preserve">,  (2018),  siguiendo  el  mismo  principio  de  utilizar  residuos  agroindustriales evaluó  medios  de  cultivo  más  económico  para  la  producción  de  biomasa  de </w:t>
      </w:r>
      <w:proofErr w:type="spellStart"/>
      <w:r w:rsidRPr="004E7F31">
        <w:rPr>
          <w:rFonts w:cs="Arial"/>
          <w:i/>
        </w:rPr>
        <w:t>Lactobacillus</w:t>
      </w:r>
      <w:proofErr w:type="spellEnd"/>
      <w:r w:rsidRPr="004E7F31">
        <w:rPr>
          <w:rFonts w:cs="Arial"/>
          <w:i/>
        </w:rPr>
        <w:t xml:space="preserve">  </w:t>
      </w:r>
      <w:proofErr w:type="spellStart"/>
      <w:r w:rsidRPr="004E7F31">
        <w:rPr>
          <w:rFonts w:cs="Arial"/>
          <w:i/>
        </w:rPr>
        <w:t>paracasei</w:t>
      </w:r>
      <w:proofErr w:type="spellEnd"/>
      <w:r w:rsidRPr="004E7F31">
        <w:rPr>
          <w:rFonts w:cs="Arial"/>
        </w:rPr>
        <w:t xml:space="preserve">  90,  incluyendo  el  residual  líquido  proveniente  de  la obtención de proteína de soya, concluyendo que este residual puede ofrecer un comportamiento como medio de cultivo base para fermentos lácticos a un costo competitivo y con gran potencial de aplicación en quesería.</w:t>
      </w:r>
    </w:p>
    <w:p w:rsidR="008D61AD" w:rsidRPr="004E7F31" w:rsidRDefault="008D61AD" w:rsidP="008D61AD">
      <w:pPr>
        <w:rPr>
          <w:rFonts w:cs="Arial"/>
        </w:rPr>
      </w:pPr>
      <w:r w:rsidRPr="004E7F31">
        <w:rPr>
          <w:rFonts w:cs="Arial"/>
        </w:rPr>
        <w:t xml:space="preserve">El  residual  de  la  línea  de  ablandamiento  del  grano  de  soya  presenta  en  su composición  entre  16  y  20  %  de  Nitrógeno  Total  </w:t>
      </w:r>
      <w:r w:rsidR="000C3851" w:rsidRPr="004E7F31">
        <w:rPr>
          <w:rFonts w:cs="Arial"/>
        </w:rPr>
        <w:fldChar w:fldCharType="begin"/>
      </w:r>
      <w:r w:rsidRPr="004E7F31">
        <w:rPr>
          <w:rFonts w:cs="Arial"/>
        </w:rPr>
        <w:instrText xml:space="preserve"> ADDIN EN.CITE &lt;EndNote&gt;&lt;Cite&gt;&lt;Author&gt;Kurup&lt;/Author&gt;&lt;Year&gt;2020&lt;/Year&gt;&lt;RecNum&gt;120&lt;/RecNum&gt;&lt;DisplayText&gt;(Kurup, 2020)&lt;/DisplayText&gt;&lt;record&gt;&lt;rec-number&gt;120&lt;/rec-number&gt;&lt;foreign-keys&gt;&lt;key app="EN" db-id="90arevp2p9ae2tezfzjva2x2ae9vrrsdff99" timestamp="1604970274"&gt;120&lt;/key&gt;&lt;/foreign-keys&gt;&lt;ref-type name="Thesis"&gt;32&lt;/ref-type&gt;&lt;contributors&gt;&lt;authors&gt;&lt;author&gt;Kurup, Geethu Gopinatha&lt;/author&gt;&lt;/authors&gt;&lt;/contributors&gt;&lt;titles&gt;&lt;title&gt;Treatment of dairy wastewater and recovery of organic solids and salts&lt;/title&gt;&lt;/titles&gt;&lt;dates&gt;&lt;year&gt;2020&lt;/year&gt;&lt;/dates&gt;&lt;publisher&gt;RMIT University&lt;/publisher&gt;&lt;urls&gt;&lt;/urls&gt;&lt;/record&gt;&lt;/Cite&gt;&lt;/EndNote&gt;</w:instrText>
      </w:r>
      <w:r w:rsidR="000C3851" w:rsidRPr="004E7F31">
        <w:rPr>
          <w:rFonts w:cs="Arial"/>
        </w:rPr>
        <w:fldChar w:fldCharType="separate"/>
      </w:r>
      <w:r w:rsidRPr="004E7F31">
        <w:rPr>
          <w:rFonts w:cs="Arial"/>
          <w:noProof/>
        </w:rPr>
        <w:t>(Kurup, 2020)</w:t>
      </w:r>
      <w:r w:rsidR="000C3851" w:rsidRPr="004E7F31">
        <w:rPr>
          <w:rFonts w:cs="Arial"/>
        </w:rPr>
        <w:fldChar w:fldCharType="end"/>
      </w:r>
      <w:r w:rsidRPr="004E7F31">
        <w:rPr>
          <w:rFonts w:cs="Arial"/>
        </w:rPr>
        <w:t>,  por  lo  que constituye  una  alternativa  para  la  incorporación  de  fuentes  nitrogenadas  en  medios alternativos.</w:t>
      </w:r>
    </w:p>
    <w:p w:rsidR="008D61AD" w:rsidRPr="004E7F31" w:rsidRDefault="008D61AD" w:rsidP="008D61AD">
      <w:pPr>
        <w:rPr>
          <w:rFonts w:cs="Arial"/>
        </w:rPr>
      </w:pPr>
      <w:r w:rsidRPr="004E7F31">
        <w:rPr>
          <w:rFonts w:cs="Arial"/>
        </w:rPr>
        <w:t>Raya-Medina,  (2018) incluyó en su investigación sobre el uso en terneros de un  bioproducto desarrollados en  residuos de la industria láctea, el residual líquido obtenido de la  línea de ablandamiento del grano de soya, en el proceso de producción de yogurt de soya. El trabajo incluyó combinación del 50 % (v/v)  del  residual  de  la  línea  de  ablandamiento  del  grano  de  soya  con  el  suero lácteo.  Los  resultados  fueron  comparables  con  los  obtenidos  con el yogurt de leche  de soya al utilizar como variable de interés la acidez; Giró-</w:t>
      </w:r>
      <w:proofErr w:type="spellStart"/>
      <w:r w:rsidRPr="004E7F31">
        <w:rPr>
          <w:rFonts w:cs="Arial"/>
        </w:rPr>
        <w:t>Letourneaut</w:t>
      </w:r>
      <w:proofErr w:type="spellEnd"/>
      <w:r w:rsidRPr="004E7F31">
        <w:rPr>
          <w:rFonts w:cs="Arial"/>
        </w:rPr>
        <w:t xml:space="preserve"> (2019), utiliza estas mismas proporciones en su trabajo de obtención de un </w:t>
      </w:r>
      <w:proofErr w:type="spellStart"/>
      <w:r w:rsidRPr="004E7F31">
        <w:rPr>
          <w:rFonts w:cs="Arial"/>
        </w:rPr>
        <w:t>biopreparado</w:t>
      </w:r>
      <w:proofErr w:type="spellEnd"/>
      <w:r w:rsidRPr="004E7F31">
        <w:rPr>
          <w:rFonts w:cs="Arial"/>
        </w:rPr>
        <w:t xml:space="preserve"> con cepas de </w:t>
      </w:r>
      <w:proofErr w:type="spellStart"/>
      <w:r w:rsidRPr="004E7F31">
        <w:rPr>
          <w:rFonts w:cs="Arial"/>
          <w:i/>
        </w:rPr>
        <w:t>Lactobacillus</w:t>
      </w:r>
      <w:proofErr w:type="spellEnd"/>
      <w:r w:rsidRPr="004E7F31">
        <w:rPr>
          <w:rFonts w:cs="Arial"/>
          <w:i/>
        </w:rPr>
        <w:t xml:space="preserve">  </w:t>
      </w:r>
      <w:proofErr w:type="spellStart"/>
      <w:r w:rsidRPr="004E7F31">
        <w:rPr>
          <w:rFonts w:cs="Arial"/>
          <w:i/>
        </w:rPr>
        <w:lastRenderedPageBreak/>
        <w:t>acidophilus</w:t>
      </w:r>
      <w:proofErr w:type="spellEnd"/>
      <w:r w:rsidRPr="004E7F31">
        <w:rPr>
          <w:rFonts w:cs="Arial"/>
        </w:rPr>
        <w:t xml:space="preserve">  SS80  y  </w:t>
      </w:r>
      <w:proofErr w:type="spellStart"/>
      <w:r w:rsidRPr="004E7F31">
        <w:rPr>
          <w:rFonts w:cs="Arial"/>
          <w:i/>
        </w:rPr>
        <w:t>Streptococcusthermophiles</w:t>
      </w:r>
      <w:proofErr w:type="spellEnd"/>
      <w:r w:rsidRPr="004E7F31">
        <w:rPr>
          <w:rFonts w:cs="Arial"/>
        </w:rPr>
        <w:t xml:space="preserve">  SS77 mostrando buen crecimiento en los tiempos evaluados. </w:t>
      </w:r>
    </w:p>
    <w:p w:rsidR="008D61AD" w:rsidRPr="004E7F31" w:rsidRDefault="008D61AD" w:rsidP="008D61AD">
      <w:pPr>
        <w:rPr>
          <w:rFonts w:cs="Arial"/>
        </w:rPr>
      </w:pPr>
      <w:r w:rsidRPr="004E7F31">
        <w:rPr>
          <w:rFonts w:cs="Arial"/>
        </w:rPr>
        <w:t xml:space="preserve">Los  valores  de pH de las diferentes  proporciones del 50, 75 y 90 % (v/v) del  medio de cultivo (SQ+RLS) disminuyó a valores por debajo de 4.5  en  24h, lo que se corresponde con otros estudios donde las cepas de lactobacilos redujeron el pH a valores  ≤  5,5  en  24h </w:t>
      </w:r>
      <w:r w:rsidR="000C3851" w:rsidRPr="004E7F31">
        <w:rPr>
          <w:rFonts w:cs="Arial"/>
          <w:highlight w:val="yellow"/>
        </w:rPr>
        <w:fldChar w:fldCharType="begin"/>
      </w:r>
      <w:r w:rsidRPr="004E7F31">
        <w:rPr>
          <w:rFonts w:cs="Arial"/>
          <w:highlight w:val="yellow"/>
        </w:rPr>
        <w:instrText xml:space="preserve"> ADDIN EN.CITE &lt;EndNote&gt;&lt;Cite&gt;&lt;Author&gt;Jurado-Gámez&lt;/Author&gt;&lt;Year&gt;2014&lt;/Year&gt;&lt;RecNum&gt;145&lt;/RecNum&gt;&lt;DisplayText&gt;(Jurado-Gámez, Andrés-Martínez, Magdalena-Chaspuengal, &amp;amp; Y., 2014)&lt;/DisplayText&gt;&lt;record&gt;&lt;rec-number&gt;145&lt;/rec-number&gt;&lt;foreign-keys&gt;&lt;key app="EN" db-id="90arevp2p9ae2tezfzjva2x2ae9vrrsdff99" timestamp="1631785192"&gt;145&lt;/key&gt;&lt;/foreign-keys&gt;&lt;ref-type name="Journal Article"&gt;17&lt;/ref-type&gt;&lt;contributors&gt;&lt;authors&gt;&lt;author&gt;Jurado-Gámez, H. &lt;/author&gt;&lt;author&gt;Andrés-Martínez,  &lt;/author&gt;&lt;author&gt;Magdalena-Chaspuengal, A. &lt;/author&gt;&lt;author&gt;Yesid-Calpa F. Y. &lt;/author&gt;&lt;/authors&gt;&lt;/contributors&gt;&lt;titles&gt;&lt;title&gt;Evaluación in vitro de la acción de Lactobacillus plantarum con características probióticas sobre Yersinia pseudotuberculosis&lt;/title&gt;&lt;secondary-title&gt;Biotecnología en el Sector Agropecuario y Agroindustrial &lt;/secondary-title&gt;&lt;/titles&gt;&lt;periodical&gt;&lt;full-title&gt;Biotecnología en el Sector Agropecuario y Agroindustrial&lt;/full-title&gt;&lt;/periodical&gt;&lt;pages&gt;49-59&lt;/pages&gt;&lt;volume&gt;12&lt;/volume&gt;&lt;dates&gt;&lt;year&gt;2014&lt;/year&gt;&lt;/dates&gt;&lt;urls&gt;&lt;/urls&gt;&lt;/record&gt;&lt;/Cite&gt;&lt;/EndNote&gt;</w:instrText>
      </w:r>
      <w:r w:rsidR="000C3851" w:rsidRPr="004E7F31">
        <w:rPr>
          <w:rFonts w:cs="Arial"/>
          <w:highlight w:val="yellow"/>
        </w:rPr>
        <w:fldChar w:fldCharType="end"/>
      </w:r>
      <w:r w:rsidRPr="004E7F31">
        <w:rPr>
          <w:rFonts w:cs="Arial"/>
        </w:rPr>
        <w:t xml:space="preserve">(Jurado-Gámez  </w:t>
      </w:r>
      <w:r w:rsidRPr="004E7F31">
        <w:rPr>
          <w:rFonts w:cs="Arial"/>
          <w:i/>
        </w:rPr>
        <w:t>et al.,</w:t>
      </w:r>
      <w:r w:rsidRPr="004E7F31">
        <w:rPr>
          <w:rFonts w:cs="Arial"/>
        </w:rPr>
        <w:t xml:space="preserve"> 2014). La  tolerancia  a  bajo  pH  son propiedades  esenciales  requeridas  por  las  bacterias acido lácticas  para  sobrevivir  en  el  tracto digestivo  y  expresar  sus  propiedades  benéficas.  Con  estas  características  de calidad las cepas incluidas en el ensayo tendrán mayores efectos ya que se conoce que la mayoría de los </w:t>
      </w:r>
      <w:proofErr w:type="spellStart"/>
      <w:r w:rsidRPr="004E7F31">
        <w:rPr>
          <w:rFonts w:cs="Arial"/>
        </w:rPr>
        <w:t>enteropatógenos</w:t>
      </w:r>
      <w:proofErr w:type="spellEnd"/>
      <w:r w:rsidRPr="004E7F31">
        <w:rPr>
          <w:rFonts w:cs="Arial"/>
        </w:rPr>
        <w:t xml:space="preserve"> inhiben su  crecimiento  en valores cercanos a un pH de 5,5.</w:t>
      </w:r>
    </w:p>
    <w:p w:rsidR="008D61AD" w:rsidRPr="005035FB" w:rsidRDefault="008D61AD" w:rsidP="008D61AD">
      <w:pPr>
        <w:pStyle w:val="Prrafodelista"/>
        <w:numPr>
          <w:ilvl w:val="0"/>
          <w:numId w:val="25"/>
        </w:numPr>
        <w:spacing w:after="0" w:line="360" w:lineRule="auto"/>
        <w:jc w:val="both"/>
        <w:rPr>
          <w:rFonts w:ascii="Arial" w:hAnsi="Arial" w:cs="Arial"/>
          <w:b/>
          <w:sz w:val="24"/>
          <w:szCs w:val="24"/>
        </w:rPr>
      </w:pPr>
      <w:r w:rsidRPr="005035FB">
        <w:rPr>
          <w:rFonts w:ascii="Arial" w:hAnsi="Arial" w:cs="Arial"/>
          <w:b/>
          <w:sz w:val="24"/>
          <w:szCs w:val="24"/>
        </w:rPr>
        <w:t>Conclusiones</w:t>
      </w:r>
    </w:p>
    <w:p w:rsidR="008D61AD" w:rsidRPr="004E7F31" w:rsidRDefault="008D61AD" w:rsidP="008D61AD">
      <w:pPr>
        <w:rPr>
          <w:rFonts w:cs="Arial"/>
        </w:rPr>
      </w:pPr>
      <w:r w:rsidRPr="004E7F31">
        <w:rPr>
          <w:rFonts w:cs="Arial"/>
        </w:rPr>
        <w:t>Se  obtienen  niveles de crecimiento de las cepas evaluadas (</w:t>
      </w:r>
      <w:r w:rsidRPr="004E7F31">
        <w:rPr>
          <w:rFonts w:cs="Arial"/>
          <w:i/>
          <w:iCs/>
        </w:rPr>
        <w:t xml:space="preserve">Lactobacillus </w:t>
      </w:r>
      <w:r w:rsidRPr="004E7F31">
        <w:rPr>
          <w:rFonts w:cs="Arial"/>
        </w:rPr>
        <w:t>SS70</w:t>
      </w:r>
      <w:r w:rsidRPr="004E7F31">
        <w:rPr>
          <w:rFonts w:cs="Arial"/>
          <w:i/>
          <w:iCs/>
        </w:rPr>
        <w:t xml:space="preserve"> y Lactobacillus </w:t>
      </w:r>
      <w:r w:rsidRPr="004E7F31">
        <w:rPr>
          <w:rFonts w:cs="Arial"/>
        </w:rPr>
        <w:t>SS73) en las diferentes proporciones de suero lácteo y residual líquido de la línea de ablandamiento del grano de soya y la presencia de lactosa incrementa la población de Lactobacillus,  expresado  en  la  disminución  del  pH  y  la  elevación  de  la acidez; siendo las proporciones más efectivas las de 50, 75   y  90% (v/v). En cuanto a los tiempos de incubación se puede ajustar a las 12 o 24 h donde se alcanzan diferenciales de  acidez y pH que no difieren con la leche de soya.</w:t>
      </w:r>
    </w:p>
    <w:p w:rsidR="008D61AD" w:rsidRDefault="008D61AD" w:rsidP="008D61AD">
      <w:pPr>
        <w:ind w:right="999"/>
        <w:rPr>
          <w:rFonts w:cs="Arial"/>
          <w:b/>
        </w:rPr>
      </w:pPr>
    </w:p>
    <w:p w:rsidR="008D61AD" w:rsidRPr="004E7F31" w:rsidRDefault="008D61AD" w:rsidP="008D61AD">
      <w:pPr>
        <w:ind w:right="999"/>
        <w:rPr>
          <w:rFonts w:cs="Arial"/>
          <w:b/>
        </w:rPr>
      </w:pPr>
      <w:r w:rsidRPr="004E7F31">
        <w:rPr>
          <w:rFonts w:cs="Arial"/>
          <w:b/>
        </w:rPr>
        <w:t>B</w:t>
      </w:r>
      <w:r w:rsidR="00B85700" w:rsidRPr="004E7F31">
        <w:rPr>
          <w:rFonts w:cs="Arial"/>
          <w:b/>
        </w:rPr>
        <w:t>ibliografía</w:t>
      </w:r>
    </w:p>
    <w:p w:rsidR="008D61AD" w:rsidRPr="004E7F31" w:rsidRDefault="000C3851" w:rsidP="008D61AD">
      <w:pPr>
        <w:pStyle w:val="EndNoteBibliography"/>
        <w:spacing w:after="0"/>
        <w:ind w:left="720" w:hanging="720"/>
        <w:rPr>
          <w:rFonts w:ascii="Arial" w:hAnsi="Arial" w:cs="Arial"/>
          <w:sz w:val="24"/>
          <w:szCs w:val="24"/>
          <w:lang w:val="es-ES"/>
        </w:rPr>
      </w:pPr>
      <w:r w:rsidRPr="000C3851">
        <w:rPr>
          <w:rFonts w:ascii="Arial" w:eastAsia="Calibri" w:hAnsi="Arial" w:cs="Arial"/>
          <w:sz w:val="24"/>
          <w:szCs w:val="24"/>
        </w:rPr>
        <w:fldChar w:fldCharType="begin"/>
      </w:r>
      <w:r w:rsidR="008D61AD" w:rsidRPr="00FE4FD7">
        <w:rPr>
          <w:rFonts w:ascii="Arial" w:hAnsi="Arial" w:cs="Arial"/>
          <w:sz w:val="24"/>
          <w:szCs w:val="24"/>
          <w:lang w:val="es-ES"/>
        </w:rPr>
        <w:instrText xml:space="preserve"> ADDIN EN.REFLIST </w:instrText>
      </w:r>
      <w:r w:rsidRPr="000C3851">
        <w:rPr>
          <w:rFonts w:ascii="Arial" w:eastAsia="Calibri" w:hAnsi="Arial" w:cs="Arial"/>
          <w:sz w:val="24"/>
          <w:szCs w:val="24"/>
        </w:rPr>
        <w:fldChar w:fldCharType="separate"/>
      </w:r>
      <w:r w:rsidR="008D61AD" w:rsidRPr="00FE4FD7">
        <w:rPr>
          <w:rFonts w:ascii="Arial" w:hAnsi="Arial" w:cs="Arial"/>
          <w:sz w:val="24"/>
          <w:szCs w:val="24"/>
          <w:lang w:val="es-ES"/>
        </w:rPr>
        <w:t xml:space="preserve">Arsène, M. M., Davares, A. K., Andreevna, S. L., Vladimirovich, E. A., Carime, B. Z., Marouf, R., &amp; Khelifi, I. (2021). </w:t>
      </w:r>
      <w:r w:rsidR="008D61AD" w:rsidRPr="004E7F31">
        <w:rPr>
          <w:rFonts w:ascii="Arial" w:hAnsi="Arial" w:cs="Arial"/>
          <w:sz w:val="24"/>
          <w:szCs w:val="24"/>
        </w:rPr>
        <w:t xml:space="preserve">The use of probiotics in animal feeding for safe production and as potential alternatives to antibiotics. </w:t>
      </w:r>
      <w:r w:rsidR="008D61AD" w:rsidRPr="004E7F31">
        <w:rPr>
          <w:rFonts w:ascii="Arial" w:hAnsi="Arial" w:cs="Arial"/>
          <w:i/>
          <w:sz w:val="24"/>
          <w:szCs w:val="24"/>
          <w:lang w:val="es-ES"/>
        </w:rPr>
        <w:t>Veterinary world, 14</w:t>
      </w:r>
      <w:r w:rsidR="008D61AD" w:rsidRPr="004E7F31">
        <w:rPr>
          <w:rFonts w:ascii="Arial" w:hAnsi="Arial" w:cs="Arial"/>
          <w:sz w:val="24"/>
          <w:szCs w:val="24"/>
          <w:lang w:val="es-ES"/>
        </w:rPr>
        <w:t xml:space="preserve">(2), 319.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Beret, M. V. (2018). Medio de cultivo económico para la producción de biomasa de lactobacillus paracasei 90. </w:t>
      </w:r>
      <w:r w:rsidRPr="004E7F31">
        <w:rPr>
          <w:rFonts w:ascii="Arial" w:hAnsi="Arial" w:cs="Arial"/>
          <w:i/>
          <w:sz w:val="24"/>
          <w:szCs w:val="24"/>
          <w:lang w:val="es-ES"/>
        </w:rPr>
        <w:t xml:space="preserve">Disponible </w:t>
      </w:r>
      <w:hyperlink r:id="rId16" w:history="1">
        <w:r w:rsidRPr="004E7F31">
          <w:rPr>
            <w:rStyle w:val="Hipervnculo"/>
            <w:rFonts w:ascii="Arial" w:hAnsi="Arial" w:cs="Arial"/>
            <w:i/>
            <w:sz w:val="24"/>
            <w:szCs w:val="24"/>
            <w:lang w:val="es-ES"/>
          </w:rPr>
          <w:t>http://bibliotecavirtual.unl.edu.ar:8080/colecciones/bitstream/handle/123456789/9035/R</w:t>
        </w:r>
      </w:hyperlink>
      <w:r w:rsidRPr="004E7F31">
        <w:rPr>
          <w:rFonts w:ascii="Arial" w:hAnsi="Arial" w:cs="Arial"/>
          <w:i/>
          <w:sz w:val="24"/>
          <w:szCs w:val="24"/>
          <w:lang w:val="es-ES"/>
        </w:rPr>
        <w:t xml:space="preserve"> I31.pdf Consultado: 15 de julio 2020.</w:t>
      </w:r>
    </w:p>
    <w:p w:rsidR="008D61AD" w:rsidRPr="003F62C0" w:rsidRDefault="008D61AD" w:rsidP="008D61AD">
      <w:pPr>
        <w:pStyle w:val="EndNoteBibliography"/>
        <w:spacing w:after="0"/>
        <w:ind w:left="720" w:hanging="720"/>
        <w:rPr>
          <w:rFonts w:ascii="Arial" w:hAnsi="Arial" w:cs="Arial"/>
          <w:sz w:val="24"/>
          <w:szCs w:val="24"/>
          <w:lang w:val="en-GB"/>
        </w:rPr>
      </w:pPr>
      <w:r w:rsidRPr="004E7F31">
        <w:rPr>
          <w:rFonts w:ascii="Arial" w:hAnsi="Arial" w:cs="Arial"/>
          <w:sz w:val="24"/>
          <w:szCs w:val="24"/>
          <w:lang w:val="es-ES"/>
        </w:rPr>
        <w:t xml:space="preserve">Coghetto, C. C., Vasconcelos, C. B., Brinques, G. B., &amp; Ayub, M. A. Z. (2016). </w:t>
      </w:r>
      <w:r w:rsidRPr="003F62C0">
        <w:rPr>
          <w:rFonts w:ascii="Arial" w:hAnsi="Arial" w:cs="Arial"/>
          <w:sz w:val="24"/>
          <w:szCs w:val="24"/>
          <w:lang w:val="en-GB"/>
        </w:rPr>
        <w:t xml:space="preserve">Lactobacillus plantarum BL011 cultivation in industrial isolated soybean protein acid residue. </w:t>
      </w:r>
      <w:r w:rsidRPr="003F62C0">
        <w:rPr>
          <w:rFonts w:ascii="Arial" w:hAnsi="Arial" w:cs="Arial"/>
          <w:i/>
          <w:sz w:val="24"/>
          <w:szCs w:val="24"/>
          <w:lang w:val="en-GB"/>
        </w:rPr>
        <w:t>brazilian journal of microbiology, 47</w:t>
      </w:r>
      <w:r w:rsidRPr="003F62C0">
        <w:rPr>
          <w:rFonts w:ascii="Arial" w:hAnsi="Arial" w:cs="Arial"/>
          <w:sz w:val="24"/>
          <w:szCs w:val="24"/>
          <w:lang w:val="en-GB"/>
        </w:rPr>
        <w:t xml:space="preserve">(4), 941-948. </w:t>
      </w:r>
    </w:p>
    <w:p w:rsidR="008D61AD" w:rsidRPr="004E7F31" w:rsidRDefault="008D61AD" w:rsidP="008D61AD">
      <w:pPr>
        <w:pStyle w:val="EndNoteBibliography"/>
        <w:spacing w:after="0"/>
        <w:ind w:left="720" w:hanging="720"/>
        <w:rPr>
          <w:rFonts w:ascii="Arial" w:hAnsi="Arial" w:cs="Arial"/>
          <w:sz w:val="24"/>
          <w:szCs w:val="24"/>
          <w:lang w:val="es-ES"/>
        </w:rPr>
      </w:pPr>
      <w:r w:rsidRPr="009F68C9">
        <w:rPr>
          <w:rFonts w:ascii="Arial" w:hAnsi="Arial" w:cs="Arial"/>
          <w:sz w:val="24"/>
          <w:szCs w:val="24"/>
          <w:lang w:val="pt-BR"/>
        </w:rPr>
        <w:lastRenderedPageBreak/>
        <w:t xml:space="preserve">Cossio, D. S., Hernández, Y. G., &amp; Mendoza, J. (2018). </w:t>
      </w:r>
      <w:r w:rsidRPr="004E7F31">
        <w:rPr>
          <w:rFonts w:ascii="Arial" w:hAnsi="Arial" w:cs="Arial"/>
          <w:sz w:val="24"/>
          <w:szCs w:val="24"/>
          <w:lang w:val="es-ES"/>
        </w:rPr>
        <w:t xml:space="preserve">Development of probiotics for animal production Experiences in Cuba Desarrollo de probióticos destinados a la producción animal: experiencias en Cuba. </w:t>
      </w:r>
      <w:r w:rsidRPr="004E7F31">
        <w:rPr>
          <w:rFonts w:ascii="Arial" w:hAnsi="Arial" w:cs="Arial"/>
          <w:i/>
          <w:sz w:val="24"/>
          <w:szCs w:val="24"/>
          <w:lang w:val="es-ES"/>
        </w:rPr>
        <w:t>Rev Ciencias Agrícolas, 52</w:t>
      </w:r>
      <w:r w:rsidRPr="004E7F31">
        <w:rPr>
          <w:rFonts w:ascii="Arial" w:hAnsi="Arial" w:cs="Arial"/>
          <w:sz w:val="24"/>
          <w:szCs w:val="24"/>
          <w:lang w:val="es-ES"/>
        </w:rPr>
        <w:t xml:space="preserve">(4).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Díaz, J. R., García, J. H., &amp; Rizzo, L. (2019). Evaluación en Cuba de un medio de cultivo alternativo para recuento en placa de Lactobacillus spp. </w:t>
      </w:r>
      <w:r w:rsidRPr="004E7F31">
        <w:rPr>
          <w:rFonts w:ascii="Arial" w:hAnsi="Arial" w:cs="Arial"/>
          <w:i/>
          <w:sz w:val="24"/>
          <w:szCs w:val="24"/>
          <w:lang w:val="es-ES"/>
        </w:rPr>
        <w:t>InfoCiencia, 23</w:t>
      </w:r>
      <w:r w:rsidRPr="004E7F31">
        <w:rPr>
          <w:rFonts w:ascii="Arial" w:hAnsi="Arial" w:cs="Arial"/>
          <w:sz w:val="24"/>
          <w:szCs w:val="24"/>
          <w:lang w:val="es-ES"/>
        </w:rPr>
        <w:t xml:space="preserve">(2), 24-35.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Giró-Letourneaut, D. ( 2019). Bioproducto probiótico desarrollado en residuos de la industria láctea para uso en terneros lactantes. (Trabajo de diploma). Departamento de Agronomía Facultad de Ciencias Agropecuaria Universidad de Sancti Spíritus, "José Martí Pérez". .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Gómez, M., M’Boumba, A., &amp; Hernández, O. (2018). Aprovechamiento de suero de queso en yogur de soya: Use of cheese whey in soy yogurt. </w:t>
      </w:r>
      <w:r w:rsidRPr="004E7F31">
        <w:rPr>
          <w:rFonts w:ascii="Arial" w:hAnsi="Arial" w:cs="Arial"/>
          <w:i/>
          <w:sz w:val="24"/>
          <w:szCs w:val="24"/>
          <w:lang w:val="es-ES"/>
        </w:rPr>
        <w:t>Ciencia y Tecnología de Alimentos, 28</w:t>
      </w:r>
      <w:r w:rsidRPr="004E7F31">
        <w:rPr>
          <w:rFonts w:ascii="Arial" w:hAnsi="Arial" w:cs="Arial"/>
          <w:sz w:val="24"/>
          <w:szCs w:val="24"/>
          <w:lang w:val="es-ES"/>
        </w:rPr>
        <w:t xml:space="preserve">(1), 32-35.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Jurado-Gámez, H., Andrés-Martínez, Magdalena-Chaspuengal, A., &amp; Y., Y.-C. F. (2014). Evaluación in vitro de la acción de Lactobacillus plantarum con características probióticas sobre Yersinia pseudotuberculosis. </w:t>
      </w:r>
      <w:r w:rsidRPr="004E7F31">
        <w:rPr>
          <w:rFonts w:ascii="Arial" w:hAnsi="Arial" w:cs="Arial"/>
          <w:i/>
          <w:sz w:val="24"/>
          <w:szCs w:val="24"/>
          <w:lang w:val="es-ES"/>
        </w:rPr>
        <w:t>Biotecnología en el Sector Agropecuario y Agroindustrial, 12</w:t>
      </w:r>
      <w:r w:rsidRPr="004E7F31">
        <w:rPr>
          <w:rFonts w:ascii="Arial" w:hAnsi="Arial" w:cs="Arial"/>
          <w:sz w:val="24"/>
          <w:szCs w:val="24"/>
          <w:lang w:val="es-ES"/>
        </w:rPr>
        <w:t xml:space="preserve">, 49-59. </w:t>
      </w:r>
    </w:p>
    <w:p w:rsidR="008D61AD" w:rsidRPr="007D1ECA" w:rsidRDefault="008D61AD" w:rsidP="008D61AD">
      <w:pPr>
        <w:pStyle w:val="EndNoteBibliography"/>
        <w:spacing w:after="0"/>
        <w:ind w:left="720" w:hanging="720"/>
        <w:rPr>
          <w:rFonts w:ascii="Arial" w:hAnsi="Arial" w:cs="Arial"/>
          <w:sz w:val="24"/>
          <w:szCs w:val="24"/>
        </w:rPr>
      </w:pPr>
      <w:r w:rsidRPr="004E7F31">
        <w:rPr>
          <w:rFonts w:ascii="Arial" w:hAnsi="Arial" w:cs="Arial"/>
          <w:sz w:val="24"/>
          <w:szCs w:val="24"/>
          <w:lang w:val="es-ES"/>
        </w:rPr>
        <w:t xml:space="preserve">Kurup, G. G. (2020). </w:t>
      </w:r>
      <w:r w:rsidRPr="004E7F31">
        <w:rPr>
          <w:rFonts w:ascii="Arial" w:hAnsi="Arial" w:cs="Arial"/>
          <w:i/>
          <w:sz w:val="24"/>
          <w:szCs w:val="24"/>
        </w:rPr>
        <w:t>Treatment of dairy wastewater and recovery of organic solids and salts.</w:t>
      </w:r>
      <w:r w:rsidRPr="007D1ECA">
        <w:rPr>
          <w:rFonts w:ascii="Arial" w:hAnsi="Arial" w:cs="Arial"/>
          <w:sz w:val="24"/>
          <w:szCs w:val="24"/>
        </w:rPr>
        <w:t xml:space="preserve">RMIT University.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Luna, L. G., Álvarez, I., &amp; Rivero, R. (2011). Cultivo de Chlorella vulgaris sobre residual de soja con la aplicación de un campo magnético. </w:t>
      </w:r>
      <w:r w:rsidRPr="004E7F31">
        <w:rPr>
          <w:rFonts w:ascii="Arial" w:hAnsi="Arial" w:cs="Arial"/>
          <w:i/>
          <w:sz w:val="24"/>
          <w:szCs w:val="24"/>
          <w:lang w:val="es-ES"/>
        </w:rPr>
        <w:t>Revista Colombiana de Biotecnología, 13</w:t>
      </w:r>
      <w:r w:rsidRPr="004E7F31">
        <w:rPr>
          <w:rFonts w:ascii="Arial" w:hAnsi="Arial" w:cs="Arial"/>
          <w:sz w:val="24"/>
          <w:szCs w:val="24"/>
          <w:lang w:val="es-ES"/>
        </w:rPr>
        <w:t xml:space="preserve">(2), 27-38.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Marin-Cárdenas, A., Mbengue, C., Miranda-Yuquilema, J. E., &amp; Artiles, E. N. (2020). Efecto de un biopreparado probiótico sobre el comportamiento productivo y la salud de ternero. </w:t>
      </w:r>
      <w:r w:rsidRPr="004E7F31">
        <w:rPr>
          <w:rFonts w:ascii="Arial" w:hAnsi="Arial" w:cs="Arial"/>
          <w:i/>
          <w:sz w:val="24"/>
          <w:szCs w:val="24"/>
          <w:lang w:val="es-ES"/>
        </w:rPr>
        <w:t>Revista Ecuatoriana de Ciencia Animal, 4</w:t>
      </w:r>
      <w:r w:rsidRPr="004E7F31">
        <w:rPr>
          <w:rFonts w:ascii="Arial" w:hAnsi="Arial" w:cs="Arial"/>
          <w:sz w:val="24"/>
          <w:szCs w:val="24"/>
          <w:lang w:val="es-ES"/>
        </w:rPr>
        <w:t xml:space="preserve">(1 Ene-Abr), 68-75.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Miranda, O. F., P.L. Ponce, I. Borges, M. Cutiño, M. Díaz, R. M. Miranda, M. Ramírez, R. . (2015). Evaluación de bacterias probióticas en suero de queso fermentado para la alimentación de cerdos en crecimiento. </w:t>
      </w:r>
      <w:r w:rsidRPr="004E7F31">
        <w:rPr>
          <w:rFonts w:ascii="Arial" w:hAnsi="Arial" w:cs="Arial"/>
          <w:i/>
          <w:sz w:val="24"/>
          <w:szCs w:val="24"/>
          <w:lang w:val="es-ES"/>
        </w:rPr>
        <w:t>Revista Computadorizada de Producción Porcina, 22</w:t>
      </w:r>
      <w:r w:rsidRPr="004E7F31">
        <w:rPr>
          <w:rFonts w:ascii="Arial" w:hAnsi="Arial" w:cs="Arial"/>
          <w:sz w:val="24"/>
          <w:szCs w:val="24"/>
          <w:lang w:val="es-ES"/>
        </w:rPr>
        <w:t xml:space="preserve">(2).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NRIAL-173. (2001). Productos de soya métodos de ensayo. La Habana, Cuba.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NRIAL-174. (2008). Yogur de soya aromatizado requisitos de calidad. La Habana, Cuba. </w:t>
      </w:r>
    </w:p>
    <w:p w:rsidR="008D61AD" w:rsidRPr="004E7F31" w:rsidRDefault="008D61AD" w:rsidP="008D61AD">
      <w:pPr>
        <w:pStyle w:val="EndNoteBibliography"/>
        <w:spacing w:after="0"/>
        <w:ind w:left="720" w:hanging="720"/>
        <w:rPr>
          <w:rFonts w:ascii="Arial" w:hAnsi="Arial" w:cs="Arial"/>
          <w:sz w:val="24"/>
          <w:szCs w:val="24"/>
        </w:rPr>
      </w:pPr>
      <w:r w:rsidRPr="004E7F31">
        <w:rPr>
          <w:rFonts w:ascii="Arial" w:hAnsi="Arial" w:cs="Arial"/>
          <w:sz w:val="24"/>
          <w:szCs w:val="24"/>
          <w:lang w:val="es-ES"/>
        </w:rPr>
        <w:t xml:space="preserve">Nyokabi, S., Luning, P. A., de Boer, I. J., Korir, L., Muunda, E., Bebe, B. O., . . . </w:t>
      </w:r>
      <w:r w:rsidRPr="004E7F31">
        <w:rPr>
          <w:rFonts w:ascii="Arial" w:hAnsi="Arial" w:cs="Arial"/>
          <w:sz w:val="24"/>
          <w:szCs w:val="24"/>
        </w:rPr>
        <w:t xml:space="preserve">Oosting, S. J. (2021). Milk quality and hygiene: knowledge, attitudes and practices of smallholder dairy farmers in central Kenya. </w:t>
      </w:r>
      <w:r w:rsidRPr="004E7F31">
        <w:rPr>
          <w:rFonts w:ascii="Arial" w:hAnsi="Arial" w:cs="Arial"/>
          <w:i/>
          <w:sz w:val="24"/>
          <w:szCs w:val="24"/>
        </w:rPr>
        <w:t>Food Control</w:t>
      </w:r>
      <w:r w:rsidRPr="004E7F31">
        <w:rPr>
          <w:rFonts w:ascii="Arial" w:hAnsi="Arial" w:cs="Arial"/>
          <w:sz w:val="24"/>
          <w:szCs w:val="24"/>
        </w:rPr>
        <w:t xml:space="preserve">, 108303. </w:t>
      </w:r>
    </w:p>
    <w:p w:rsidR="008D61AD" w:rsidRPr="00FE4FD7" w:rsidRDefault="008D61AD" w:rsidP="008D61AD">
      <w:pPr>
        <w:pStyle w:val="EndNoteBibliography"/>
        <w:spacing w:after="0"/>
        <w:ind w:left="720" w:hanging="720"/>
        <w:rPr>
          <w:rFonts w:ascii="Arial" w:hAnsi="Arial" w:cs="Arial"/>
          <w:sz w:val="24"/>
          <w:szCs w:val="24"/>
        </w:rPr>
      </w:pPr>
      <w:r w:rsidRPr="00FE4FD7">
        <w:rPr>
          <w:rFonts w:ascii="Arial" w:hAnsi="Arial" w:cs="Arial"/>
          <w:sz w:val="24"/>
          <w:szCs w:val="24"/>
        </w:rPr>
        <w:t xml:space="preserve">Pérez-López, E. (2017). Mejora de la funcionalidad de Okara de soja por tratamiento simultáneo con altas presiones hidrostáticas y enzimas alimentarias Improvement of the functionality soybean okara by simultaneous treatment with high hydrostatic pressure and food-grade enzymes. </w:t>
      </w:r>
    </w:p>
    <w:p w:rsidR="008D61AD" w:rsidRPr="004E7F31" w:rsidRDefault="008D61AD" w:rsidP="008D61AD">
      <w:pPr>
        <w:pStyle w:val="EndNoteBibliography"/>
        <w:spacing w:after="0"/>
        <w:ind w:left="720" w:hanging="720"/>
        <w:rPr>
          <w:rFonts w:ascii="Arial" w:hAnsi="Arial" w:cs="Arial"/>
          <w:sz w:val="24"/>
          <w:szCs w:val="24"/>
          <w:lang w:val="es-ES"/>
        </w:rPr>
      </w:pPr>
      <w:r w:rsidRPr="004E7F31">
        <w:rPr>
          <w:rFonts w:ascii="Arial" w:hAnsi="Arial" w:cs="Arial"/>
          <w:sz w:val="24"/>
          <w:szCs w:val="24"/>
          <w:lang w:val="es-ES"/>
        </w:rPr>
        <w:t xml:space="preserve">Raya-Medina, R. (2018). Evaluación probiótica en terneros de un bioproducto desarrollados en residuos de la industria láctea (Trabajo de diploma).  . </w:t>
      </w:r>
      <w:r w:rsidRPr="004E7F31">
        <w:rPr>
          <w:rFonts w:ascii="Arial" w:hAnsi="Arial" w:cs="Arial"/>
          <w:i/>
          <w:sz w:val="24"/>
          <w:szCs w:val="24"/>
          <w:lang w:val="es-ES"/>
        </w:rPr>
        <w:t>Departamento de Agronomía. Facultad de Ciencias Agropecuaria. Universidad de Sancti Spíritus, "José Martí Pérez"</w:t>
      </w:r>
      <w:r w:rsidRPr="004E7F31">
        <w:rPr>
          <w:rFonts w:ascii="Arial" w:hAnsi="Arial" w:cs="Arial"/>
          <w:sz w:val="24"/>
          <w:szCs w:val="24"/>
          <w:lang w:val="es-ES"/>
        </w:rPr>
        <w:t xml:space="preserve">. </w:t>
      </w:r>
    </w:p>
    <w:p w:rsidR="008D61AD" w:rsidRPr="004E7F31" w:rsidRDefault="008D61AD" w:rsidP="008D61AD">
      <w:pPr>
        <w:pStyle w:val="EndNoteBibliography"/>
        <w:spacing w:after="0"/>
        <w:ind w:left="720" w:hanging="720"/>
        <w:rPr>
          <w:rFonts w:ascii="Arial" w:hAnsi="Arial" w:cs="Arial"/>
          <w:sz w:val="24"/>
          <w:szCs w:val="24"/>
        </w:rPr>
      </w:pPr>
      <w:r w:rsidRPr="004E7F31">
        <w:rPr>
          <w:rFonts w:ascii="Arial" w:hAnsi="Arial" w:cs="Arial"/>
          <w:sz w:val="24"/>
          <w:szCs w:val="24"/>
        </w:rPr>
        <w:t xml:space="preserve">Santos, M. (2016). Probiotic cell cultivation. . </w:t>
      </w:r>
      <w:r w:rsidRPr="004E7F31">
        <w:rPr>
          <w:rFonts w:ascii="Arial" w:hAnsi="Arial" w:cs="Arial"/>
          <w:i/>
          <w:sz w:val="24"/>
          <w:szCs w:val="24"/>
        </w:rPr>
        <w:t>Advances in Probiotic Technology, 45</w:t>
      </w:r>
      <w:r w:rsidRPr="004E7F31">
        <w:rPr>
          <w:rFonts w:ascii="Arial" w:hAnsi="Arial" w:cs="Arial"/>
          <w:sz w:val="24"/>
          <w:szCs w:val="24"/>
        </w:rPr>
        <w:t xml:space="preserve">. </w:t>
      </w:r>
    </w:p>
    <w:p w:rsidR="008D61AD" w:rsidRPr="004E7F31" w:rsidRDefault="008D61AD" w:rsidP="008D61AD">
      <w:pPr>
        <w:pStyle w:val="EndNoteBibliography"/>
        <w:spacing w:after="0"/>
        <w:ind w:left="720" w:hanging="720"/>
        <w:rPr>
          <w:rFonts w:ascii="Arial" w:hAnsi="Arial" w:cs="Arial"/>
          <w:sz w:val="24"/>
          <w:szCs w:val="24"/>
        </w:rPr>
      </w:pPr>
      <w:r w:rsidRPr="003F62C0">
        <w:rPr>
          <w:rFonts w:ascii="Arial" w:hAnsi="Arial" w:cs="Arial"/>
          <w:sz w:val="24"/>
          <w:szCs w:val="24"/>
          <w:lang w:val="es-ES"/>
        </w:rPr>
        <w:t xml:space="preserve">Saval, S. (2012). </w:t>
      </w:r>
      <w:r w:rsidRPr="004E7F31">
        <w:rPr>
          <w:rFonts w:ascii="Arial" w:hAnsi="Arial" w:cs="Arial"/>
          <w:sz w:val="24"/>
          <w:szCs w:val="24"/>
          <w:lang w:val="es-ES"/>
        </w:rPr>
        <w:t xml:space="preserve">Aprovechamiento de residuos agroindustriales: pasado, presente y futuro. </w:t>
      </w:r>
      <w:r w:rsidRPr="004E7F31">
        <w:rPr>
          <w:rFonts w:ascii="Arial" w:hAnsi="Arial" w:cs="Arial"/>
          <w:i/>
          <w:sz w:val="24"/>
          <w:szCs w:val="24"/>
        </w:rPr>
        <w:t>BioTecnología, 16</w:t>
      </w:r>
      <w:r w:rsidRPr="004E7F31">
        <w:rPr>
          <w:rFonts w:ascii="Arial" w:hAnsi="Arial" w:cs="Arial"/>
          <w:sz w:val="24"/>
          <w:szCs w:val="24"/>
        </w:rPr>
        <w:t xml:space="preserve">(2), 14-46. </w:t>
      </w:r>
    </w:p>
    <w:p w:rsidR="008D61AD" w:rsidRPr="004E7F31" w:rsidRDefault="008D61AD" w:rsidP="008D61AD">
      <w:pPr>
        <w:pStyle w:val="EndNoteBibliography"/>
        <w:ind w:left="720" w:hanging="720"/>
        <w:rPr>
          <w:rFonts w:ascii="Arial" w:hAnsi="Arial" w:cs="Arial"/>
          <w:sz w:val="24"/>
          <w:szCs w:val="24"/>
        </w:rPr>
      </w:pPr>
      <w:r w:rsidRPr="004E7F31">
        <w:rPr>
          <w:rFonts w:ascii="Arial" w:hAnsi="Arial" w:cs="Arial"/>
          <w:sz w:val="24"/>
          <w:szCs w:val="24"/>
        </w:rPr>
        <w:lastRenderedPageBreak/>
        <w:t xml:space="preserve">Serventi, L. (2020). Soaking Water Composition </w:t>
      </w:r>
      <w:r w:rsidRPr="004E7F31">
        <w:rPr>
          <w:rFonts w:ascii="Arial" w:hAnsi="Arial" w:cs="Arial"/>
          <w:i/>
          <w:sz w:val="24"/>
          <w:szCs w:val="24"/>
        </w:rPr>
        <w:t>Upcycling Legume Water: from wastewater to food ingredients</w:t>
      </w:r>
      <w:r w:rsidRPr="004E7F31">
        <w:rPr>
          <w:rFonts w:ascii="Arial" w:hAnsi="Arial" w:cs="Arial"/>
          <w:sz w:val="24"/>
          <w:szCs w:val="24"/>
        </w:rPr>
        <w:t xml:space="preserve"> (pp. 27-39): Springer.</w:t>
      </w:r>
    </w:p>
    <w:p w:rsidR="008D61AD" w:rsidRPr="008D61AD" w:rsidRDefault="000C3851" w:rsidP="008D61AD">
      <w:pPr>
        <w:rPr>
          <w:rFonts w:cs="Arial"/>
          <w:lang w:val="en-GB"/>
        </w:rPr>
      </w:pPr>
      <w:r w:rsidRPr="004E7F31">
        <w:rPr>
          <w:rFonts w:cs="Arial"/>
        </w:rPr>
        <w:fldChar w:fldCharType="end"/>
      </w:r>
    </w:p>
    <w:p w:rsidR="006F4691" w:rsidRPr="008D61AD" w:rsidRDefault="006F4691" w:rsidP="008D61AD">
      <w:pPr>
        <w:rPr>
          <w:lang w:val="en-GB"/>
        </w:rPr>
      </w:pPr>
    </w:p>
    <w:sectPr w:rsidR="006F4691" w:rsidRPr="008D61AD" w:rsidSect="00B54B95">
      <w:headerReference w:type="default" r:id="rId17"/>
      <w:footerReference w:type="default" r:id="rId18"/>
      <w:pgSz w:w="12240" w:h="15840" w:code="1"/>
      <w:pgMar w:top="1418" w:right="1418" w:bottom="1418"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0B6" w:rsidRDefault="001130B6" w:rsidP="00276F63">
      <w:pPr>
        <w:spacing w:before="0" w:after="0" w:line="240" w:lineRule="auto"/>
      </w:pPr>
      <w:r>
        <w:separator/>
      </w:r>
    </w:p>
  </w:endnote>
  <w:endnote w:type="continuationSeparator" w:id="1">
    <w:p w:rsidR="001130B6" w:rsidRDefault="001130B6" w:rsidP="00276F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tál">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0B6" w:rsidRDefault="001130B6" w:rsidP="00276F63">
      <w:pPr>
        <w:spacing w:before="0" w:after="0" w:line="240" w:lineRule="auto"/>
      </w:pPr>
      <w:r>
        <w:separator/>
      </w:r>
    </w:p>
  </w:footnote>
  <w:footnote w:type="continuationSeparator" w:id="1">
    <w:p w:rsidR="001130B6" w:rsidRDefault="001130B6" w:rsidP="00276F6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F575B24"/>
    <w:multiLevelType w:val="multilevel"/>
    <w:tmpl w:val="B630F814"/>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hint="default"/>
        <w:b w:val="0"/>
        <w:i/>
      </w:rPr>
    </w:lvl>
    <w:lvl w:ilvl="2">
      <w:start w:val="1"/>
      <w:numFmt w:val="decimal"/>
      <w:isLgl/>
      <w:lvlText w:val="%1.%2.%3"/>
      <w:lvlJc w:val="left"/>
      <w:pPr>
        <w:ind w:left="720" w:hanging="720"/>
      </w:pPr>
      <w:rPr>
        <w:rFonts w:hint="default"/>
        <w:b w:val="0"/>
        <w:i/>
      </w:rPr>
    </w:lvl>
    <w:lvl w:ilvl="3">
      <w:start w:val="1"/>
      <w:numFmt w:val="decimal"/>
      <w:isLgl/>
      <w:lvlText w:val="%1.%2.%3.%4"/>
      <w:lvlJc w:val="left"/>
      <w:pPr>
        <w:ind w:left="1080" w:hanging="1080"/>
      </w:pPr>
      <w:rPr>
        <w:rFonts w:hint="default"/>
        <w:b w:val="0"/>
        <w:i/>
      </w:rPr>
    </w:lvl>
    <w:lvl w:ilvl="4">
      <w:start w:val="1"/>
      <w:numFmt w:val="decimal"/>
      <w:isLgl/>
      <w:lvlText w:val="%1.%2.%3.%4.%5"/>
      <w:lvlJc w:val="left"/>
      <w:pPr>
        <w:ind w:left="1080" w:hanging="1080"/>
      </w:pPr>
      <w:rPr>
        <w:rFonts w:hint="default"/>
        <w:b w:val="0"/>
        <w:i/>
      </w:rPr>
    </w:lvl>
    <w:lvl w:ilvl="5">
      <w:start w:val="1"/>
      <w:numFmt w:val="decimal"/>
      <w:isLgl/>
      <w:lvlText w:val="%1.%2.%3.%4.%5.%6"/>
      <w:lvlJc w:val="left"/>
      <w:pPr>
        <w:ind w:left="1440" w:hanging="1440"/>
      </w:pPr>
      <w:rPr>
        <w:rFonts w:hint="default"/>
        <w:b w:val="0"/>
        <w:i/>
      </w:rPr>
    </w:lvl>
    <w:lvl w:ilvl="6">
      <w:start w:val="1"/>
      <w:numFmt w:val="decimal"/>
      <w:isLgl/>
      <w:lvlText w:val="%1.%2.%3.%4.%5.%6.%7"/>
      <w:lvlJc w:val="left"/>
      <w:pPr>
        <w:ind w:left="1440" w:hanging="1440"/>
      </w:pPr>
      <w:rPr>
        <w:rFonts w:hint="default"/>
        <w:b w:val="0"/>
        <w:i/>
      </w:rPr>
    </w:lvl>
    <w:lvl w:ilvl="7">
      <w:start w:val="1"/>
      <w:numFmt w:val="decimal"/>
      <w:isLgl/>
      <w:lvlText w:val="%1.%2.%3.%4.%5.%6.%7.%8"/>
      <w:lvlJc w:val="left"/>
      <w:pPr>
        <w:ind w:left="1800" w:hanging="1800"/>
      </w:pPr>
      <w:rPr>
        <w:rFonts w:hint="default"/>
        <w:b w:val="0"/>
        <w:i/>
      </w:rPr>
    </w:lvl>
    <w:lvl w:ilvl="8">
      <w:start w:val="1"/>
      <w:numFmt w:val="decimal"/>
      <w:isLgl/>
      <w:lvlText w:val="%1.%2.%3.%4.%5.%6.%7.%8.%9"/>
      <w:lvlJc w:val="left"/>
      <w:pPr>
        <w:ind w:left="1800" w:hanging="1800"/>
      </w:pPr>
      <w:rPr>
        <w:rFonts w:hint="default"/>
        <w:b w:val="0"/>
        <w:i/>
      </w:rPr>
    </w:lvl>
  </w:abstractNum>
  <w:abstractNum w:abstractNumId="10">
    <w:nsid w:val="2F6B6B42"/>
    <w:multiLevelType w:val="hybridMultilevel"/>
    <w:tmpl w:val="ECE00C06"/>
    <w:lvl w:ilvl="0" w:tplc="B3E032A2">
      <w:start w:val="1"/>
      <w:numFmt w:val="lowerLetter"/>
      <w:lvlText w:val="%1)"/>
      <w:lvlJc w:val="left"/>
      <w:pPr>
        <w:ind w:left="390"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66D01E1"/>
    <w:multiLevelType w:val="hybridMultilevel"/>
    <w:tmpl w:val="794CCA7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4477BD"/>
    <w:multiLevelType w:val="hybridMultilevel"/>
    <w:tmpl w:val="C922B6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5"/>
  </w:num>
  <w:num w:numId="3">
    <w:abstractNumId w:val="17"/>
  </w:num>
  <w:num w:numId="4">
    <w:abstractNumId w:val="3"/>
  </w:num>
  <w:num w:numId="5">
    <w:abstractNumId w:val="11"/>
  </w:num>
  <w:num w:numId="6">
    <w:abstractNumId w:val="8"/>
  </w:num>
  <w:num w:numId="7">
    <w:abstractNumId w:val="4"/>
  </w:num>
  <w:num w:numId="8">
    <w:abstractNumId w:val="12"/>
  </w:num>
  <w:num w:numId="9">
    <w:abstractNumId w:val="18"/>
  </w:num>
  <w:num w:numId="10">
    <w:abstractNumId w:val="16"/>
  </w:num>
  <w:num w:numId="11">
    <w:abstractNumId w:val="5"/>
  </w:num>
  <w:num w:numId="12">
    <w:abstractNumId w:val="14"/>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3"/>
  </w:num>
  <w:num w:numId="21">
    <w:abstractNumId w:val="21"/>
  </w:num>
  <w:num w:numId="22">
    <w:abstractNumId w:val="10"/>
  </w:num>
  <w:num w:numId="23">
    <w:abstractNumId w:val="22"/>
  </w:num>
  <w:num w:numId="24">
    <w:abstractNumId w:val="1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removePersonalInformation/>
  <w:removeDateAndTim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US" w:vendorID="64" w:dllVersion="131078" w:nlCheck="1" w:checkStyle="1"/>
  <w:proofState w:spelling="clean" w:grammar="clean"/>
  <w:attachedTemplate r:id="rId1"/>
  <w:stylePaneFormatFilter w:val="3F01"/>
  <w:stylePaneSortMethod w:val="0000"/>
  <w:defaultTabStop w:val="708"/>
  <w:hyphenationZone w:val="425"/>
  <w:noPunctuationKerning/>
  <w:characterSpacingControl w:val="doNotCompress"/>
  <w:hdrShapeDefaults>
    <o:shapedefaults v:ext="edit" spidmax="6145"/>
  </w:hdrShapeDefaults>
  <w:footnotePr>
    <w:footnote w:id="0"/>
    <w:footnote w:id="1"/>
  </w:footnotePr>
  <w:endnotePr>
    <w:endnote w:id="0"/>
    <w:endnote w:id="1"/>
  </w:endnotePr>
  <w:compat/>
  <w:rsids>
    <w:rsidRoot w:val="0098023C"/>
    <w:rsid w:val="00014951"/>
    <w:rsid w:val="000727A7"/>
    <w:rsid w:val="000C0FA7"/>
    <w:rsid w:val="000C3851"/>
    <w:rsid w:val="000F2BCE"/>
    <w:rsid w:val="001130B6"/>
    <w:rsid w:val="00276F63"/>
    <w:rsid w:val="00294A34"/>
    <w:rsid w:val="00431C3A"/>
    <w:rsid w:val="004869FA"/>
    <w:rsid w:val="004B34A5"/>
    <w:rsid w:val="005265ED"/>
    <w:rsid w:val="005623C5"/>
    <w:rsid w:val="005B145C"/>
    <w:rsid w:val="005B747F"/>
    <w:rsid w:val="006952E9"/>
    <w:rsid w:val="006C4816"/>
    <w:rsid w:val="006F4691"/>
    <w:rsid w:val="00700DF8"/>
    <w:rsid w:val="00715A1F"/>
    <w:rsid w:val="007D1ECA"/>
    <w:rsid w:val="008018BC"/>
    <w:rsid w:val="00893195"/>
    <w:rsid w:val="008D61AD"/>
    <w:rsid w:val="009016FB"/>
    <w:rsid w:val="00927599"/>
    <w:rsid w:val="009567D5"/>
    <w:rsid w:val="0098023C"/>
    <w:rsid w:val="00A435F1"/>
    <w:rsid w:val="00B54B95"/>
    <w:rsid w:val="00B74E79"/>
    <w:rsid w:val="00B81488"/>
    <w:rsid w:val="00B818E8"/>
    <w:rsid w:val="00B85700"/>
    <w:rsid w:val="00C705E4"/>
    <w:rsid w:val="00CF649E"/>
    <w:rsid w:val="00D83261"/>
    <w:rsid w:val="00EB37EF"/>
    <w:rsid w:val="00ED1EAE"/>
    <w:rsid w:val="00FE4FD7"/>
    <w:rsid w:val="00FF086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3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072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0727A7"/>
    <w:rPr>
      <w:rFonts w:ascii="Courier New" w:hAnsi="Courier New" w:cs="Courier New"/>
      <w:lang w:val="es-ES" w:eastAsia="es-ES"/>
    </w:rPr>
  </w:style>
  <w:style w:type="paragraph" w:styleId="NormalWeb">
    <w:name w:val="Normal (Web)"/>
    <w:basedOn w:val="Normal"/>
    <w:uiPriority w:val="99"/>
    <w:unhideWhenUsed/>
    <w:rsid w:val="000727A7"/>
    <w:pPr>
      <w:spacing w:before="100" w:beforeAutospacing="1" w:after="100" w:afterAutospacing="1" w:line="240" w:lineRule="auto"/>
      <w:jc w:val="left"/>
    </w:pPr>
    <w:rPr>
      <w:rFonts w:ascii="Times New Roman" w:hAnsi="Times New Roman"/>
    </w:rPr>
  </w:style>
  <w:style w:type="character" w:styleId="Hipervnculo">
    <w:name w:val="Hyperlink"/>
    <w:basedOn w:val="Fuentedeprrafopredeter"/>
    <w:uiPriority w:val="99"/>
    <w:unhideWhenUsed/>
    <w:rsid w:val="000727A7"/>
    <w:rPr>
      <w:color w:val="0563C1" w:themeColor="hyperlink"/>
      <w:u w:val="single"/>
    </w:rPr>
  </w:style>
  <w:style w:type="paragraph" w:styleId="Textoindependiente">
    <w:name w:val="Body Text"/>
    <w:basedOn w:val="Normal"/>
    <w:link w:val="TextoindependienteCar"/>
    <w:rsid w:val="000727A7"/>
    <w:pPr>
      <w:widowControl w:val="0"/>
      <w:suppressAutoHyphens/>
      <w:autoSpaceDE w:val="0"/>
      <w:autoSpaceDN w:val="0"/>
      <w:spacing w:before="0" w:after="0" w:line="240" w:lineRule="auto"/>
      <w:ind w:left="102"/>
      <w:jc w:val="left"/>
      <w:textAlignment w:val="baseline"/>
    </w:pPr>
    <w:rPr>
      <w:rFonts w:ascii="Times New Roman" w:hAnsi="Times New Roman"/>
    </w:rPr>
  </w:style>
  <w:style w:type="character" w:customStyle="1" w:styleId="TextoindependienteCar">
    <w:name w:val="Texto independiente Car"/>
    <w:basedOn w:val="Fuentedeprrafopredeter"/>
    <w:link w:val="Textoindependiente"/>
    <w:rsid w:val="000727A7"/>
    <w:rPr>
      <w:sz w:val="24"/>
      <w:szCs w:val="24"/>
      <w:lang w:val="es-ES" w:eastAsia="es-ES"/>
    </w:rPr>
  </w:style>
  <w:style w:type="paragraph" w:styleId="Prrafodelista">
    <w:name w:val="List Paragraph"/>
    <w:basedOn w:val="Normal"/>
    <w:uiPriority w:val="34"/>
    <w:qFormat/>
    <w:rsid w:val="000727A7"/>
    <w:pPr>
      <w:spacing w:before="0"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0727A7"/>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727A7"/>
    <w:rPr>
      <w:b/>
      <w:bCs/>
    </w:rPr>
  </w:style>
  <w:style w:type="paragraph" w:customStyle="1" w:styleId="EndNoteBibliography">
    <w:name w:val="EndNote Bibliography"/>
    <w:basedOn w:val="Normal"/>
    <w:link w:val="EndNoteBibliographyCar"/>
    <w:rsid w:val="000727A7"/>
    <w:pPr>
      <w:spacing w:before="0" w:after="160" w:line="240" w:lineRule="auto"/>
      <w:jc w:val="left"/>
    </w:pPr>
    <w:rPr>
      <w:rFonts w:ascii="Calibri" w:eastAsiaTheme="minorHAnsi" w:hAnsi="Calibri" w:cstheme="minorBidi"/>
      <w:noProof/>
      <w:sz w:val="22"/>
      <w:szCs w:val="22"/>
      <w:lang w:val="en-US" w:eastAsia="en-US"/>
    </w:rPr>
  </w:style>
  <w:style w:type="character" w:customStyle="1" w:styleId="EndNoteBibliographyCar">
    <w:name w:val="EndNote Bibliography Car"/>
    <w:basedOn w:val="Fuentedeprrafopredeter"/>
    <w:link w:val="EndNoteBibliography"/>
    <w:rsid w:val="000727A7"/>
    <w:rPr>
      <w:rFonts w:ascii="Calibri" w:eastAsiaTheme="minorHAnsi" w:hAnsi="Calibri" w:cstheme="minorBidi"/>
      <w:noProof/>
      <w:sz w:val="22"/>
      <w:szCs w:val="22"/>
    </w:rPr>
  </w:style>
  <w:style w:type="character" w:customStyle="1" w:styleId="y2iqfc">
    <w:name w:val="y2iqfc"/>
    <w:basedOn w:val="Fuentedeprrafopredeter"/>
    <w:rsid w:val="00B85700"/>
  </w:style>
</w:styles>
</file>

<file path=word/webSettings.xml><?xml version="1.0" encoding="utf-8"?>
<w:webSettings xmlns:r="http://schemas.openxmlformats.org/officeDocument/2006/relationships" xmlns:w="http://schemas.openxmlformats.org/wordprocessingml/2006/main">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144423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emilio@uniss.edu.cu" TargetMode="External"/><Relationship Id="rId13" Type="http://schemas.openxmlformats.org/officeDocument/2006/relationships/hyperlink" Target="https://orcid.org/0000-0002-9319-11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agnostico@larisa.ulcesa.minag.gob.c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bliotecavirtual.unl.edu.ar:8080/colecciones/bitstream/handle/123456789/9035/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451-5627" TargetMode="External"/><Relationship Id="rId5" Type="http://schemas.openxmlformats.org/officeDocument/2006/relationships/webSettings" Target="webSettings.xml"/><Relationship Id="rId15" Type="http://schemas.openxmlformats.org/officeDocument/2006/relationships/hyperlink" Target="https://orcid.org/0000-0003-4906-3080" TargetMode="External"/><Relationship Id="rId10" Type="http://schemas.openxmlformats.org/officeDocument/2006/relationships/hyperlink" Target="mailto:diagnostico@larisa.ulcesa.minag.gob.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7471-0561" TargetMode="External"/><Relationship Id="rId14" Type="http://schemas.openxmlformats.org/officeDocument/2006/relationships/hyperlink" Target="mailto:diagnostico@larisa.ulcesa.minag.gob.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A8B2548D-0EEB-4CAC-ABC9-075C7F69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13</Pages>
  <Words>3734</Words>
  <Characters>37342</Characters>
  <Application>Microsoft Office Word</Application>
  <DocSecurity>0</DocSecurity>
  <Lines>311</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40995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2021-10-08T15:45:00Z</dcterms:created>
  <dcterms:modified xsi:type="dcterms:W3CDTF">2021-10-08T15:56:00Z</dcterms:modified>
</cp:coreProperties>
</file>