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793" w:rsidRPr="00553793" w:rsidRDefault="00553793" w:rsidP="00553793">
      <w:pPr>
        <w:spacing w:before="0" w:after="160" w:line="240" w:lineRule="auto"/>
        <w:jc w:val="center"/>
        <w:rPr>
          <w:rFonts w:eastAsia="Calibri" w:cs="Arial"/>
          <w:b/>
          <w:sz w:val="28"/>
          <w:szCs w:val="28"/>
          <w:lang w:eastAsia="en-US"/>
        </w:rPr>
      </w:pPr>
      <w:r w:rsidRPr="00553793">
        <w:rPr>
          <w:rFonts w:eastAsia="Calibri" w:cs="Arial"/>
          <w:b/>
          <w:sz w:val="28"/>
          <w:szCs w:val="28"/>
          <w:lang w:eastAsia="en-US"/>
        </w:rPr>
        <w:t>ALMIDÓN DE YUCA COMO ALTERNATIVA PARA LA CONSERVACIÓN DE LA FRUTA BOMBA (</w:t>
      </w:r>
      <w:r w:rsidRPr="00553793">
        <w:rPr>
          <w:rFonts w:eastAsia="Calibri" w:cs="Arial"/>
          <w:b/>
          <w:i/>
          <w:sz w:val="28"/>
          <w:szCs w:val="28"/>
          <w:lang w:eastAsia="en-US"/>
        </w:rPr>
        <w:t>Carica papaya</w:t>
      </w:r>
      <w:r w:rsidRPr="00553793">
        <w:rPr>
          <w:rFonts w:eastAsia="Calibri" w:cs="Arial"/>
          <w:b/>
          <w:sz w:val="28"/>
          <w:szCs w:val="28"/>
          <w:lang w:eastAsia="en-US"/>
        </w:rPr>
        <w:t xml:space="preserve"> L.)</w:t>
      </w:r>
    </w:p>
    <w:p w:rsidR="00553793" w:rsidRPr="00553793" w:rsidRDefault="00553793" w:rsidP="00553793">
      <w:pPr>
        <w:spacing w:before="0" w:after="160" w:line="240" w:lineRule="auto"/>
        <w:jc w:val="center"/>
        <w:rPr>
          <w:rFonts w:eastAsia="Calibri" w:cs="Arial"/>
          <w:lang w:val="en-US" w:eastAsia="en-US"/>
        </w:rPr>
      </w:pPr>
      <w:r w:rsidRPr="00553793">
        <w:rPr>
          <w:rFonts w:eastAsia="Calibri" w:cs="Arial"/>
          <w:lang w:val="en-US" w:eastAsia="en-US"/>
        </w:rPr>
        <w:t>CASSAVA STARCH AS AN ALTERNATIVE FOR THE CONSERVATION OF PAPAYA (</w:t>
      </w:r>
      <w:r w:rsidRPr="00553793">
        <w:rPr>
          <w:rFonts w:eastAsia="Calibri" w:cs="Arial"/>
          <w:i/>
          <w:lang w:val="en-US" w:eastAsia="en-US"/>
        </w:rPr>
        <w:t>Carica papaya</w:t>
      </w:r>
      <w:r w:rsidRPr="00553793">
        <w:rPr>
          <w:rFonts w:eastAsia="Calibri" w:cs="Arial"/>
          <w:lang w:val="en-US" w:eastAsia="en-US"/>
        </w:rPr>
        <w:t xml:space="preserve"> L.)</w:t>
      </w:r>
    </w:p>
    <w:p w:rsidR="00553793" w:rsidRPr="00553793" w:rsidRDefault="00553793" w:rsidP="00553793">
      <w:pPr>
        <w:pStyle w:val="YAYABO-Afiliacin"/>
        <w:rPr>
          <w:lang w:val="en-US"/>
        </w:rPr>
      </w:pPr>
    </w:p>
    <w:p w:rsidR="008A4CFA" w:rsidRDefault="00553793" w:rsidP="00553793">
      <w:pPr>
        <w:spacing w:before="0" w:after="160" w:line="240" w:lineRule="auto"/>
        <w:jc w:val="center"/>
        <w:rPr>
          <w:rFonts w:eastAsia="Calibri" w:cs="Arial"/>
          <w:color w:val="0563C1"/>
          <w:u w:val="single"/>
          <w:lang w:val="en-US" w:eastAsia="en-US"/>
        </w:rPr>
      </w:pPr>
      <w:r w:rsidRPr="002C3A8F">
        <w:rPr>
          <w:rFonts w:eastAsia="Calibri" w:cs="Arial"/>
          <w:b/>
          <w:lang w:val="en-US" w:eastAsia="en-US"/>
        </w:rPr>
        <w:t xml:space="preserve">Dr. C. Daisy </w:t>
      </w:r>
      <w:proofErr w:type="spellStart"/>
      <w:r w:rsidRPr="002C3A8F">
        <w:rPr>
          <w:rFonts w:eastAsia="Calibri" w:cs="Arial"/>
          <w:b/>
          <w:lang w:val="en-US" w:eastAsia="en-US"/>
        </w:rPr>
        <w:t>Deniz</w:t>
      </w:r>
      <w:proofErr w:type="spellEnd"/>
      <w:r w:rsidRPr="002C3A8F">
        <w:rPr>
          <w:rFonts w:eastAsia="Calibri" w:cs="Arial"/>
          <w:b/>
          <w:lang w:val="en-US" w:eastAsia="en-US"/>
        </w:rPr>
        <w:t xml:space="preserve"> Jiménez</w:t>
      </w:r>
      <w:r w:rsidRPr="002C3A8F">
        <w:rPr>
          <w:rFonts w:eastAsia="Calibri" w:cs="Arial"/>
          <w:b/>
          <w:vertAlign w:val="superscript"/>
          <w:lang w:val="en-US" w:eastAsia="en-US"/>
        </w:rPr>
        <w:t xml:space="preserve">1 </w:t>
      </w:r>
      <w:r w:rsidR="002C3A8F" w:rsidRPr="002C3A8F">
        <w:rPr>
          <w:rFonts w:eastAsia="Calibri" w:cs="Arial"/>
          <w:b/>
          <w:lang w:val="en-US" w:eastAsia="en-US"/>
        </w:rPr>
        <w:t>(</w:t>
      </w:r>
      <w:r w:rsidR="002C3A8F" w:rsidRPr="002C3A8F">
        <w:rPr>
          <w:b/>
          <w:lang w:val="en-US"/>
        </w:rPr>
        <w:t>ORCID)</w:t>
      </w:r>
      <w:r w:rsidR="008A4CFA" w:rsidRPr="008A4CFA">
        <w:rPr>
          <w:rFonts w:ascii="Times New Roman" w:hAnsi="Times New Roman"/>
          <w:lang w:val="en-US"/>
        </w:rPr>
        <w:t xml:space="preserve"> </w:t>
      </w:r>
      <w:hyperlink r:id="rId8" w:history="1">
        <w:r w:rsidR="008A4CFA" w:rsidRPr="008A4CFA">
          <w:rPr>
            <w:rFonts w:eastAsia="Calibri" w:cs="Arial"/>
            <w:color w:val="0563C1"/>
            <w:u w:val="single"/>
            <w:lang w:val="en-US" w:eastAsia="en-US"/>
          </w:rPr>
          <w:t>https://orcid.org/0000-0002-0332-5594</w:t>
        </w:r>
      </w:hyperlink>
    </w:p>
    <w:p w:rsidR="00553793" w:rsidRPr="00B80EBE" w:rsidRDefault="00553793" w:rsidP="00553793">
      <w:pPr>
        <w:spacing w:before="0" w:after="160" w:line="240" w:lineRule="auto"/>
        <w:jc w:val="center"/>
        <w:rPr>
          <w:rFonts w:eastAsia="Calibri" w:cs="Arial"/>
          <w:b/>
          <w:lang w:eastAsia="en-US"/>
        </w:rPr>
      </w:pPr>
      <w:r w:rsidRPr="00553793">
        <w:rPr>
          <w:rFonts w:eastAsia="Calibri" w:cs="Arial"/>
          <w:b/>
          <w:lang w:eastAsia="en-US"/>
        </w:rPr>
        <w:t>Dr. C. Manuel Rodríguez González</w:t>
      </w:r>
      <w:r w:rsidR="0031795D" w:rsidRPr="0031795D">
        <w:rPr>
          <w:rFonts w:eastAsia="Calibri" w:cs="Arial"/>
          <w:b/>
          <w:vertAlign w:val="superscript"/>
          <w:lang w:eastAsia="en-US"/>
        </w:rPr>
        <w:t>1</w:t>
      </w:r>
      <w:r w:rsidRPr="00B80EBE">
        <w:rPr>
          <w:rFonts w:eastAsia="Calibri" w:cs="Arial"/>
          <w:b/>
          <w:lang w:eastAsia="en-US"/>
        </w:rPr>
        <w:t xml:space="preserve"> (</w:t>
      </w:r>
      <w:r w:rsidR="00B80EBE" w:rsidRPr="00B80EBE">
        <w:rPr>
          <w:b/>
        </w:rPr>
        <w:t>ORCID),</w:t>
      </w:r>
      <w:r w:rsidR="00B80EBE">
        <w:rPr>
          <w:b/>
        </w:rPr>
        <w:t xml:space="preserve"> </w:t>
      </w:r>
      <w:hyperlink r:id="rId9" w:history="1">
        <w:r w:rsidR="008A4CFA" w:rsidRPr="008A4CFA">
          <w:rPr>
            <w:rFonts w:eastAsia="Calibri" w:cs="Arial"/>
            <w:color w:val="0000FF"/>
            <w:u w:val="single"/>
            <w:lang w:eastAsia="en-US"/>
          </w:rPr>
          <w:t>https://orcid.org/0000-0002-7448-295</w:t>
        </w:r>
      </w:hyperlink>
      <w:bookmarkStart w:id="0" w:name="_GoBack"/>
      <w:bookmarkEnd w:id="0"/>
    </w:p>
    <w:p w:rsidR="00553793" w:rsidRPr="00553793" w:rsidRDefault="00553793" w:rsidP="00553793">
      <w:pPr>
        <w:spacing w:before="0" w:after="160" w:line="240" w:lineRule="auto"/>
        <w:jc w:val="center"/>
        <w:rPr>
          <w:rFonts w:eastAsia="Calibri" w:cs="Arial"/>
          <w:b/>
          <w:lang w:eastAsia="en-US"/>
        </w:rPr>
      </w:pPr>
      <w:r w:rsidRPr="00553793">
        <w:rPr>
          <w:rFonts w:eastAsia="Calibri" w:cs="Arial"/>
          <w:b/>
          <w:lang w:eastAsia="en-US"/>
        </w:rPr>
        <w:t>Ing. Nerelys Cabrera Julien</w:t>
      </w:r>
      <w:r w:rsidR="0031795D">
        <w:rPr>
          <w:rFonts w:eastAsia="Calibri" w:cs="Arial"/>
          <w:b/>
          <w:vertAlign w:val="superscript"/>
          <w:lang w:eastAsia="en-US"/>
        </w:rPr>
        <w:t>1</w:t>
      </w:r>
      <w:r w:rsidR="00B80EBE" w:rsidRPr="00B80EBE">
        <w:rPr>
          <w:rFonts w:eastAsia="Calibri" w:cs="Arial"/>
          <w:b/>
          <w:lang w:eastAsia="en-US"/>
        </w:rPr>
        <w:t xml:space="preserve"> (</w:t>
      </w:r>
      <w:r w:rsidR="00B80EBE" w:rsidRPr="00B80EBE">
        <w:rPr>
          <w:b/>
        </w:rPr>
        <w:t>ORCID</w:t>
      </w:r>
      <w:r w:rsidR="008A4CFA" w:rsidRPr="008A4CFA">
        <w:rPr>
          <w:rFonts w:eastAsia="Calibri" w:cs="Arial"/>
          <w:lang w:eastAsia="en-US"/>
        </w:rPr>
        <w:t xml:space="preserve">), </w:t>
      </w:r>
      <w:hyperlink r:id="rId10" w:history="1">
        <w:r w:rsidR="008A4CFA" w:rsidRPr="008A4CFA">
          <w:rPr>
            <w:rFonts w:eastAsia="Calibri" w:cs="Arial"/>
            <w:color w:val="0000FF"/>
            <w:u w:val="single"/>
            <w:lang w:eastAsia="en-US"/>
          </w:rPr>
          <w:t>https://orcid.org/0000-0002-1918-8555</w:t>
        </w:r>
      </w:hyperlink>
      <w:r w:rsidR="008A4CFA">
        <w:rPr>
          <w:b/>
        </w:rPr>
        <w:t xml:space="preserve"> </w:t>
      </w:r>
    </w:p>
    <w:p w:rsidR="00697910" w:rsidRPr="00697910" w:rsidRDefault="00697910" w:rsidP="00697910">
      <w:pPr>
        <w:pStyle w:val="YAYABO-email"/>
        <w:spacing w:after="0"/>
        <w:rPr>
          <w:rFonts w:ascii="Itálica" w:eastAsia="Calibri" w:hAnsi="Itálica"/>
          <w:i w:val="0"/>
          <w:iCs w:val="0"/>
          <w:szCs w:val="22"/>
          <w:lang w:val="es-ES" w:eastAsia="en-US"/>
        </w:rPr>
      </w:pPr>
      <w:r w:rsidRPr="00697910">
        <w:rPr>
          <w:rFonts w:ascii="Itálica" w:eastAsia="Calibri" w:hAnsi="Itálica"/>
          <w:i w:val="0"/>
          <w:iCs w:val="0"/>
          <w:szCs w:val="22"/>
          <w:vertAlign w:val="superscript"/>
          <w:lang w:val="es-ES" w:eastAsia="en-US"/>
        </w:rPr>
        <w:t>1</w:t>
      </w:r>
      <w:r w:rsidRPr="00697910">
        <w:rPr>
          <w:rFonts w:ascii="Itálica" w:eastAsia="Calibri" w:hAnsi="Itálica"/>
          <w:i w:val="0"/>
          <w:iCs w:val="0"/>
          <w:szCs w:val="22"/>
          <w:lang w:val="es-ES" w:eastAsia="en-US"/>
        </w:rPr>
        <w:t xml:space="preserve"> Universidad de Sancti Spíritus (Cuba)</w:t>
      </w:r>
    </w:p>
    <w:p w:rsidR="00697910" w:rsidRDefault="00697910" w:rsidP="001C6DF3">
      <w:pPr>
        <w:pStyle w:val="YAYABO-email"/>
        <w:rPr>
          <w:rFonts w:ascii="Itálica" w:eastAsia="Calibri" w:hAnsi="Itálica"/>
          <w:i w:val="0"/>
          <w:iCs w:val="0"/>
          <w:szCs w:val="22"/>
          <w:lang w:val="en-US" w:eastAsia="en-US"/>
        </w:rPr>
      </w:pPr>
      <w:r w:rsidRPr="001C6DF3">
        <w:rPr>
          <w:rFonts w:ascii="Itálica" w:eastAsia="Calibri" w:hAnsi="Itálica"/>
          <w:i w:val="0"/>
          <w:iCs w:val="0"/>
          <w:szCs w:val="22"/>
          <w:lang w:val="en-US" w:eastAsia="en-US"/>
        </w:rPr>
        <w:t xml:space="preserve">E-mails: </w:t>
      </w:r>
      <w:hyperlink r:id="rId11" w:history="1">
        <w:r w:rsidRPr="001C6DF3">
          <w:rPr>
            <w:rFonts w:ascii="Itálica" w:eastAsia="Calibri" w:hAnsi="Itálica"/>
            <w:i w:val="0"/>
            <w:iCs w:val="0"/>
            <w:color w:val="0000FF"/>
            <w:szCs w:val="22"/>
            <w:u w:val="single"/>
            <w:lang w:val="en-US" w:eastAsia="en-US"/>
          </w:rPr>
          <w:t>daisydeniz1990@gmail.com</w:t>
        </w:r>
      </w:hyperlink>
      <w:r w:rsidRPr="001C6DF3">
        <w:rPr>
          <w:rFonts w:ascii="Itálica" w:eastAsia="Calibri" w:hAnsi="Itálica"/>
          <w:i w:val="0"/>
          <w:iCs w:val="0"/>
          <w:szCs w:val="22"/>
          <w:lang w:val="en-US" w:eastAsia="en-US"/>
        </w:rPr>
        <w:t xml:space="preserve">, </w:t>
      </w:r>
      <w:hyperlink r:id="rId12" w:history="1">
        <w:r w:rsidRPr="001C6DF3">
          <w:rPr>
            <w:rFonts w:ascii="Itálica" w:eastAsia="Calibri" w:hAnsi="Itálica"/>
            <w:i w:val="0"/>
            <w:iCs w:val="0"/>
            <w:color w:val="0000FF"/>
            <w:szCs w:val="22"/>
            <w:u w:val="single"/>
            <w:lang w:val="en-US" w:eastAsia="en-US"/>
          </w:rPr>
          <w:t>manuelaleyu@gmail.com</w:t>
        </w:r>
      </w:hyperlink>
      <w:r w:rsidR="001C6DF3" w:rsidRPr="001C6DF3">
        <w:rPr>
          <w:rFonts w:ascii="Itálica" w:eastAsia="Calibri" w:hAnsi="Itálica"/>
          <w:i w:val="0"/>
          <w:iCs w:val="0"/>
          <w:color w:val="0000FF"/>
          <w:szCs w:val="22"/>
          <w:u w:val="single"/>
          <w:lang w:val="en-US" w:eastAsia="en-US"/>
        </w:rPr>
        <w:t>,</w:t>
      </w:r>
      <w:r w:rsidR="001C6DF3" w:rsidRPr="001C6DF3">
        <w:rPr>
          <w:rFonts w:ascii="Itálica" w:eastAsia="Calibri" w:hAnsi="Itálica"/>
          <w:i w:val="0"/>
          <w:iCs w:val="0"/>
          <w:color w:val="0000FF"/>
          <w:szCs w:val="22"/>
          <w:lang w:val="en-US" w:eastAsia="en-US"/>
        </w:rPr>
        <w:t xml:space="preserve"> </w:t>
      </w:r>
      <w:hyperlink r:id="rId13" w:history="1">
        <w:r w:rsidR="001C6DF3" w:rsidRPr="001C6DF3">
          <w:rPr>
            <w:rFonts w:ascii="Itálica" w:eastAsia="Calibri" w:hAnsi="Itálica"/>
            <w:i w:val="0"/>
            <w:iCs w:val="0"/>
            <w:color w:val="0000FF"/>
            <w:szCs w:val="22"/>
            <w:u w:val="single"/>
            <w:lang w:val="en-US" w:eastAsia="en-US"/>
          </w:rPr>
          <w:t>cnerelys@gmail.com</w:t>
        </w:r>
      </w:hyperlink>
      <w:r w:rsidR="001C6DF3" w:rsidRPr="001C6DF3">
        <w:rPr>
          <w:rFonts w:ascii="Itálica" w:eastAsia="Calibri" w:hAnsi="Itálica"/>
          <w:i w:val="0"/>
          <w:iCs w:val="0"/>
          <w:szCs w:val="22"/>
          <w:lang w:val="en-US" w:eastAsia="en-US"/>
        </w:rPr>
        <w:t>.</w:t>
      </w:r>
    </w:p>
    <w:p w:rsidR="001C6DF3" w:rsidRPr="001C6DF3" w:rsidRDefault="001C6DF3" w:rsidP="001C6DF3">
      <w:pPr>
        <w:spacing w:before="0" w:after="160" w:line="240" w:lineRule="auto"/>
        <w:jc w:val="center"/>
        <w:rPr>
          <w:rFonts w:eastAsia="Calibri" w:cs="Arial"/>
          <w:b/>
          <w:lang w:eastAsia="en-US"/>
        </w:rPr>
      </w:pPr>
      <w:r w:rsidRPr="001C6DF3">
        <w:rPr>
          <w:rFonts w:eastAsia="Calibri" w:cs="Arial"/>
          <w:b/>
          <w:lang w:eastAsia="en-US"/>
        </w:rPr>
        <w:t>RESUMEN</w:t>
      </w:r>
    </w:p>
    <w:p w:rsidR="001C6DF3" w:rsidRPr="001C6DF3" w:rsidRDefault="001C6DF3" w:rsidP="00C71015">
      <w:pPr>
        <w:spacing w:before="0" w:after="160"/>
        <w:rPr>
          <w:rFonts w:eastAsia="Calibri" w:cs="Arial"/>
          <w:lang w:eastAsia="en-US"/>
        </w:rPr>
      </w:pPr>
      <w:r w:rsidRPr="001C6DF3">
        <w:rPr>
          <w:rFonts w:eastAsia="Calibri" w:cs="Arial"/>
          <w:lang w:eastAsia="en-US"/>
        </w:rPr>
        <w:t>El objetivo de esté, trabajo fue determinar el efecto del almidón de yuca en la conservación y calidad de la papaya en la etapa post-cosecha. Se utilizó un diseño de bloque completamente al azar, con cuatro tratamientos y tres réplicas. Las evaluaciones se realizaron cada cuatro días, en un período de 16 días, donde se determinaron las propiedades físico-químicas. Todos los frutos a los que se le aplicó la cobertura de almidón, alcanzaron una media de los 16 días de pérdida de masa fresca de 1,9 a 2,6 veces menor, color de la cascara de un 25 a 50 % de color amarilla con relación a un 50 a 75 % de la superficie del testigo. El pH disminuyó a medida que aumento de la acidez titulable y menor tenor de sólidos solubles que los frutos control durante todo el período. De acuerdo con los resultados observados es posible afirmar que la cobertura de almidón en los frutos fue efectiva, donde se destacó la concentración del 3% de almidón para la conservación del fruto, incrementando el tiempo de vida útil durante los 16 días post-cosecha con estadios de madurez inferiores a los frutos no tratado, mejorando la apariencia externa.</w:t>
      </w:r>
    </w:p>
    <w:p w:rsidR="001C6DF3" w:rsidRPr="001C6DF3" w:rsidRDefault="001C6DF3" w:rsidP="001C6DF3">
      <w:pPr>
        <w:spacing w:before="0" w:after="160" w:line="240" w:lineRule="auto"/>
        <w:rPr>
          <w:rFonts w:eastAsia="Calibri" w:cs="Arial"/>
          <w:lang w:eastAsia="en-US"/>
        </w:rPr>
      </w:pPr>
      <w:r w:rsidRPr="001C6DF3">
        <w:rPr>
          <w:rFonts w:eastAsia="Calibri" w:cs="Arial"/>
          <w:lang w:eastAsia="en-US"/>
        </w:rPr>
        <w:t>PALABRAS-CLAVES: cobertura, conservación, calidad, papaya.</w:t>
      </w:r>
    </w:p>
    <w:p w:rsidR="001C6DF3" w:rsidRPr="001C6DF3" w:rsidRDefault="001C6DF3" w:rsidP="001C6DF3">
      <w:pPr>
        <w:spacing w:before="0" w:after="160" w:line="240" w:lineRule="auto"/>
        <w:jc w:val="center"/>
        <w:rPr>
          <w:rFonts w:eastAsia="Calibri" w:cs="Arial"/>
          <w:b/>
          <w:lang w:val="en-US" w:eastAsia="en-US"/>
        </w:rPr>
      </w:pPr>
      <w:r w:rsidRPr="001C6DF3">
        <w:rPr>
          <w:rFonts w:eastAsia="Calibri" w:cs="Arial"/>
          <w:b/>
          <w:lang w:val="en-US" w:eastAsia="en-US"/>
        </w:rPr>
        <w:t>SUMMARY</w:t>
      </w:r>
    </w:p>
    <w:p w:rsidR="00C71015" w:rsidRDefault="001C6DF3" w:rsidP="00C71015">
      <w:pPr>
        <w:spacing w:before="0" w:after="160"/>
        <w:rPr>
          <w:rFonts w:eastAsia="Calibri" w:cs="Arial"/>
          <w:lang w:val="en-US" w:eastAsia="en-US"/>
        </w:rPr>
      </w:pPr>
      <w:r w:rsidRPr="001C6DF3">
        <w:rPr>
          <w:rFonts w:eastAsia="Calibri" w:cs="Arial"/>
          <w:lang w:val="en-US" w:eastAsia="en-US"/>
        </w:rPr>
        <w:t xml:space="preserve">In this work, the objective was to determine the effect of cassava starch on the conservation and quality of the papaya fruit in the post-harvest stage in papaya. A completely </w:t>
      </w:r>
      <w:proofErr w:type="spellStart"/>
      <w:r w:rsidRPr="001C6DF3">
        <w:rPr>
          <w:rFonts w:eastAsia="Calibri" w:cs="Arial"/>
          <w:lang w:val="en-US" w:eastAsia="en-US"/>
        </w:rPr>
        <w:t>causalized</w:t>
      </w:r>
      <w:proofErr w:type="spellEnd"/>
      <w:r w:rsidRPr="001C6DF3">
        <w:rPr>
          <w:rFonts w:eastAsia="Calibri" w:cs="Arial"/>
          <w:lang w:val="en-US" w:eastAsia="en-US"/>
        </w:rPr>
        <w:t xml:space="preserve"> block design was used, with four treatments and three replicates. The evaluations occurred every four days in a period of 16 days, where the physical-</w:t>
      </w:r>
      <w:r w:rsidRPr="001C6DF3">
        <w:rPr>
          <w:rFonts w:eastAsia="Calibri" w:cs="Arial"/>
          <w:lang w:val="en-US" w:eastAsia="en-US"/>
        </w:rPr>
        <w:lastRenderedPageBreak/>
        <w:t xml:space="preserve">chemical properties were evaluated. All fruits with film had a mean of 16 days of fresh weight loss of 1.9 to 2.6 times lower, peel color of 25 to 50% yellow in relation to 50 to 75% of the surface at without film. The pH decreases the ratio of </w:t>
      </w:r>
      <w:proofErr w:type="spellStart"/>
      <w:r w:rsidRPr="001C6DF3">
        <w:rPr>
          <w:rFonts w:eastAsia="Calibri" w:cs="Arial"/>
          <w:lang w:val="en-US" w:eastAsia="en-US"/>
        </w:rPr>
        <w:t>titratable</w:t>
      </w:r>
      <w:proofErr w:type="spellEnd"/>
      <w:r w:rsidRPr="001C6DF3">
        <w:rPr>
          <w:rFonts w:eastAsia="Calibri" w:cs="Arial"/>
          <w:lang w:val="en-US" w:eastAsia="en-US"/>
        </w:rPr>
        <w:t xml:space="preserve"> acidity increase and lower soluble solids </w:t>
      </w:r>
      <w:proofErr w:type="spellStart"/>
      <w:r w:rsidRPr="001C6DF3">
        <w:rPr>
          <w:rFonts w:eastAsia="Calibri" w:cs="Arial"/>
          <w:lang w:val="en-US" w:eastAsia="en-US"/>
        </w:rPr>
        <w:t>tenores</w:t>
      </w:r>
      <w:proofErr w:type="spellEnd"/>
      <w:r w:rsidRPr="001C6DF3">
        <w:rPr>
          <w:rFonts w:eastAsia="Calibri" w:cs="Arial"/>
          <w:lang w:val="en-US" w:eastAsia="en-US"/>
        </w:rPr>
        <w:t xml:space="preserve"> that control fruits throughout the period. According to the observed results it is possible to affirm that the storage of papaya with starch coating was effective, where the concentration of 3% of starch was highlighted with a good alternative for the conservation of the papaya, increasing the shelf life during the 16 days of storage with maturity stages lower than the untreated fruits, in addition to improving the external appearance.</w:t>
      </w:r>
    </w:p>
    <w:p w:rsidR="001C6DF3" w:rsidRPr="001C6DF3" w:rsidRDefault="001C6DF3" w:rsidP="00C71015">
      <w:pPr>
        <w:spacing w:before="0" w:after="160"/>
        <w:rPr>
          <w:rFonts w:eastAsia="Calibri" w:cs="Arial"/>
          <w:lang w:val="en-US" w:eastAsia="en-US"/>
        </w:rPr>
      </w:pPr>
      <w:r w:rsidRPr="001C6DF3">
        <w:rPr>
          <w:rFonts w:eastAsia="Calibri" w:cs="Arial"/>
          <w:lang w:val="en-US" w:eastAsia="en-US"/>
        </w:rPr>
        <w:t xml:space="preserve">KEY WORDS: starch, conservation, quality, papaya. </w:t>
      </w:r>
    </w:p>
    <w:p w:rsidR="0089662C" w:rsidRPr="0052681F" w:rsidRDefault="0089662C" w:rsidP="0089662C">
      <w:pPr>
        <w:spacing w:before="0" w:after="160"/>
        <w:jc w:val="left"/>
        <w:rPr>
          <w:rFonts w:eastAsia="Calibri" w:cs="Arial"/>
          <w:b/>
          <w:i/>
          <w:vertAlign w:val="superscript"/>
          <w:lang w:eastAsia="en-US"/>
        </w:rPr>
      </w:pPr>
      <w:r w:rsidRPr="0052681F">
        <w:rPr>
          <w:rFonts w:eastAsia="Calibri" w:cs="Arial"/>
          <w:b/>
          <w:lang w:eastAsia="en-US"/>
        </w:rPr>
        <w:t>INTRODUCIÓN</w:t>
      </w:r>
    </w:p>
    <w:p w:rsidR="0089662C" w:rsidRPr="0089662C" w:rsidRDefault="0089662C" w:rsidP="0089662C">
      <w:pPr>
        <w:spacing w:before="0" w:after="160"/>
        <w:rPr>
          <w:rFonts w:cs="Arial"/>
          <w:bCs/>
          <w:lang w:eastAsia="pt-PT"/>
        </w:rPr>
      </w:pPr>
      <w:r w:rsidRPr="0089662C">
        <w:rPr>
          <w:rFonts w:cs="Arial"/>
          <w:bCs/>
          <w:lang w:eastAsia="pt-PT"/>
        </w:rPr>
        <w:t>La papaya (</w:t>
      </w:r>
      <w:r w:rsidRPr="002C3A8F">
        <w:rPr>
          <w:rFonts w:cs="Arial"/>
          <w:bCs/>
          <w:i/>
          <w:lang w:eastAsia="pt-PT"/>
        </w:rPr>
        <w:t>Carica papaya</w:t>
      </w:r>
      <w:r w:rsidRPr="0089662C">
        <w:rPr>
          <w:rFonts w:cs="Arial"/>
          <w:bCs/>
          <w:lang w:eastAsia="pt-PT"/>
        </w:rPr>
        <w:t xml:space="preserve"> L.) es una de las frutas tropicales más apreciada por los consumidores debido a que le atribuyen propiedades nutricionales, digestivas y medicinales; además, posee un agradable aroma, sabor y textura. En Cuba, la fruta es consumida preferentemente</w:t>
      </w:r>
      <w:r w:rsidRPr="0089662C">
        <w:rPr>
          <w:rFonts w:cs="Arial"/>
          <w:bCs/>
          <w:color w:val="FF0000"/>
          <w:lang w:eastAsia="pt-PT"/>
        </w:rPr>
        <w:t xml:space="preserve"> </w:t>
      </w:r>
      <w:r w:rsidRPr="0089662C">
        <w:rPr>
          <w:rFonts w:cs="Arial"/>
          <w:bCs/>
          <w:lang w:eastAsia="pt-PT"/>
        </w:rPr>
        <w:t>fresca, pero su industrialización, a través del aprovechamiento integral del fruto</w:t>
      </w:r>
      <w:r w:rsidRPr="0089662C">
        <w:rPr>
          <w:rFonts w:ascii="Times New Roman" w:hAnsi="Times New Roman"/>
          <w:bCs/>
          <w:sz w:val="22"/>
          <w:szCs w:val="22"/>
          <w:lang w:val="pt-PT" w:eastAsia="pt-PT"/>
        </w:rPr>
        <w:t xml:space="preserve">, </w:t>
      </w:r>
      <w:r w:rsidRPr="0089662C">
        <w:rPr>
          <w:rFonts w:cs="Arial"/>
          <w:bCs/>
          <w:lang w:val="pt-PT" w:eastAsia="pt-PT"/>
        </w:rPr>
        <w:t>ofrece extensa gama de productos y subproductos, que pueden ser utilizados en la industria de alimentos</w:t>
      </w:r>
      <w:r w:rsidR="002C3A8F">
        <w:rPr>
          <w:rFonts w:cs="Arial"/>
          <w:bCs/>
          <w:lang w:val="pt-PT" w:eastAsia="pt-PT"/>
        </w:rPr>
        <w:t xml:space="preserve"> y</w:t>
      </w:r>
      <w:r w:rsidRPr="0089662C">
        <w:rPr>
          <w:rFonts w:cs="Arial"/>
          <w:bCs/>
          <w:lang w:val="pt-PT" w:eastAsia="pt-PT"/>
        </w:rPr>
        <w:t xml:space="preserve"> farmacéutica</w:t>
      </w:r>
      <w:r w:rsidRPr="0089662C">
        <w:rPr>
          <w:rFonts w:cs="Arial"/>
          <w:bCs/>
          <w:lang w:eastAsia="pt-PT"/>
        </w:rPr>
        <w:t>. Varias tecnologías pueden ser aplicadas para el aprovechamiento de esta materia prima y para desarrollar productos de alto valor agregado, con pocas alteraciones nutricionales, y que satisfagan las exigencias del consumidor actual por productos convenientes que, además de nutrir, proporcionen beneficios a la salud.</w:t>
      </w:r>
    </w:p>
    <w:p w:rsidR="0089662C" w:rsidRPr="0089662C" w:rsidRDefault="0089662C" w:rsidP="0089662C">
      <w:pPr>
        <w:spacing w:before="0" w:after="160"/>
        <w:rPr>
          <w:rFonts w:cs="Arial"/>
          <w:bCs/>
          <w:lang w:eastAsia="pt-PT"/>
        </w:rPr>
      </w:pPr>
      <w:r w:rsidRPr="0089662C">
        <w:rPr>
          <w:rFonts w:cs="Arial"/>
          <w:bCs/>
          <w:lang w:eastAsia="pt-PT"/>
        </w:rPr>
        <w:t>Un gran problema que enfrentan los productores de papaya es la elevada pérdida post-cosecha de los frutos, estimada en 40 – 50 % del total producido, debido a las prácticas inadecuadas de cosecha, transporte y almacenamiento. Este fruto cuando es almacena a temperatura ambiente, tiene una vida útil estimada en seis días, ocurriendo posteriormente, marchitamiento y ataque por patógenos, por presentar elevado contenido de humedad, textura blanda y altas tasas respiratorias y de producción de calor.</w:t>
      </w:r>
      <w:r w:rsidR="002C3A8F">
        <w:rPr>
          <w:rFonts w:cs="Arial"/>
          <w:bCs/>
          <w:lang w:eastAsia="pt-PT"/>
        </w:rPr>
        <w:t xml:space="preserve"> </w:t>
      </w:r>
      <w:r w:rsidRPr="0089662C">
        <w:rPr>
          <w:rFonts w:cs="Arial"/>
          <w:bCs/>
          <w:lang w:eastAsia="pt-PT"/>
        </w:rPr>
        <w:t xml:space="preserve">Esas características del fruto generan pérdidas durante su manoseo en la etapa post-cosecha, resultando en pérdidas recurrentes de falta de comercialización o de consumo del producto en tiempo hábil post-cosecha, constituyen una situación que acompaña a las </w:t>
      </w:r>
      <w:r w:rsidRPr="0089662C">
        <w:rPr>
          <w:rFonts w:cs="Arial"/>
          <w:bCs/>
          <w:lang w:eastAsia="pt-PT"/>
        </w:rPr>
        <w:lastRenderedPageBreak/>
        <w:t>frutas que continúan vivas después de su cosecha, manteniendo activo todos sus procesos biológicos vitales (</w:t>
      </w:r>
      <w:proofErr w:type="spellStart"/>
      <w:r w:rsidRPr="0089662C">
        <w:rPr>
          <w:rFonts w:cs="Arial"/>
          <w:bCs/>
          <w:lang w:eastAsia="pt-PT"/>
        </w:rPr>
        <w:t>Deniz</w:t>
      </w:r>
      <w:proofErr w:type="spellEnd"/>
      <w:r w:rsidRPr="0089662C">
        <w:rPr>
          <w:rFonts w:cs="Arial"/>
          <w:bCs/>
          <w:lang w:eastAsia="pt-PT"/>
        </w:rPr>
        <w:t xml:space="preserve"> </w:t>
      </w:r>
      <w:r w:rsidRPr="0089662C">
        <w:rPr>
          <w:rFonts w:cs="Arial"/>
          <w:bCs/>
          <w:i/>
          <w:lang w:eastAsia="pt-PT"/>
        </w:rPr>
        <w:t>et al</w:t>
      </w:r>
      <w:r w:rsidRPr="0089662C">
        <w:rPr>
          <w:rFonts w:cs="Arial"/>
          <w:bCs/>
          <w:lang w:eastAsia="pt-PT"/>
        </w:rPr>
        <w:t xml:space="preserve">., 2020). </w:t>
      </w:r>
    </w:p>
    <w:p w:rsidR="004728EF" w:rsidRDefault="0089662C" w:rsidP="0089662C">
      <w:pPr>
        <w:spacing w:before="0" w:after="160"/>
        <w:rPr>
          <w:rFonts w:cs="Arial"/>
          <w:bCs/>
          <w:lang w:eastAsia="pt-PT"/>
        </w:rPr>
      </w:pPr>
      <w:r w:rsidRPr="0089662C">
        <w:rPr>
          <w:rFonts w:cs="Arial"/>
          <w:bCs/>
          <w:lang w:eastAsia="pt-PT"/>
        </w:rPr>
        <w:t>La vida post- cosecha puede ser reducida por causa de factores pre y post-cosecha, como patógenos y factores abióticos los cuales originan pérdidas cuantitativas y/o cualitativas. Debido a esos factores, en conjunto con el alto contenido de agua en su composición química, las frutas se tornan altamente perceptibles (</w:t>
      </w:r>
      <w:proofErr w:type="spellStart"/>
      <w:r w:rsidRPr="0089662C">
        <w:rPr>
          <w:rFonts w:cs="Arial"/>
          <w:bCs/>
          <w:lang w:eastAsia="pt-PT"/>
        </w:rPr>
        <w:t>Colivet</w:t>
      </w:r>
      <w:proofErr w:type="spellEnd"/>
      <w:r w:rsidRPr="0089662C">
        <w:rPr>
          <w:rFonts w:cs="Arial"/>
          <w:bCs/>
          <w:lang w:eastAsia="pt-PT"/>
        </w:rPr>
        <w:t xml:space="preserve"> y Carvalho, 2017). </w:t>
      </w:r>
    </w:p>
    <w:p w:rsidR="004728EF" w:rsidRDefault="0089662C" w:rsidP="0089662C">
      <w:pPr>
        <w:spacing w:before="0" w:after="160"/>
        <w:rPr>
          <w:rFonts w:cs="Arial"/>
          <w:bCs/>
          <w:lang w:eastAsia="pt-PT"/>
        </w:rPr>
      </w:pPr>
      <w:r w:rsidRPr="0089662C">
        <w:rPr>
          <w:rFonts w:cs="Arial"/>
          <w:bCs/>
          <w:lang w:eastAsia="pt-PT"/>
        </w:rPr>
        <w:t xml:space="preserve">Los filmes y coberturas (biofilmes comestibles) poseen la función de inhibir o reducir las pérdidas de humedad, oxígeno, dióxido de carbono, lípidos, aromas, entre otros, pues crean barreras semipermeables. Además, pueden transportar ingredientes alimenticios como: antioxidantes, antimicrobianos y </w:t>
      </w:r>
      <w:proofErr w:type="spellStart"/>
      <w:r w:rsidRPr="0089662C">
        <w:rPr>
          <w:rFonts w:cs="Arial"/>
          <w:bCs/>
          <w:lang w:eastAsia="pt-PT"/>
        </w:rPr>
        <w:t>flavorizantes</w:t>
      </w:r>
      <w:proofErr w:type="spellEnd"/>
      <w:r w:rsidRPr="0089662C">
        <w:rPr>
          <w:rFonts w:cs="Arial"/>
          <w:bCs/>
          <w:lang w:eastAsia="pt-PT"/>
        </w:rPr>
        <w:t xml:space="preserve">, y/o mejorar la integridad mecánica y las características externas del fruto (Chávez, 2015). </w:t>
      </w:r>
    </w:p>
    <w:p w:rsidR="0089662C" w:rsidRPr="0089662C" w:rsidRDefault="0089662C" w:rsidP="0089662C">
      <w:pPr>
        <w:spacing w:before="0" w:after="160"/>
        <w:rPr>
          <w:rFonts w:cs="Arial"/>
          <w:bCs/>
          <w:lang w:eastAsia="pt-PT"/>
        </w:rPr>
      </w:pPr>
      <w:r w:rsidRPr="0089662C">
        <w:rPr>
          <w:rFonts w:cs="Arial"/>
          <w:bCs/>
          <w:lang w:eastAsia="pt-PT"/>
        </w:rPr>
        <w:t>Existe un gran interés en el desarrollo de biofilmes comestibles o degradables biológicamente, principalmente debido a la demanda de alimentos de alta calidad. El objetivo de esta investigación fue determinar el efecto del almidón de yuca usada como cobertura en la conservación y calidad del fruto de la papaya en la etapa post-cosecha.</w:t>
      </w:r>
    </w:p>
    <w:p w:rsidR="0089662C" w:rsidRPr="0089662C" w:rsidRDefault="0089662C" w:rsidP="0055506B">
      <w:pPr>
        <w:spacing w:before="0" w:after="160"/>
        <w:jc w:val="left"/>
        <w:rPr>
          <w:rFonts w:cs="Arial"/>
          <w:b/>
          <w:bCs/>
          <w:lang w:eastAsia="pt-PT"/>
        </w:rPr>
      </w:pPr>
      <w:r w:rsidRPr="0089662C">
        <w:rPr>
          <w:rFonts w:cs="Arial"/>
          <w:b/>
          <w:bCs/>
          <w:lang w:eastAsia="pt-PT"/>
        </w:rPr>
        <w:t>DESARROLLO</w:t>
      </w:r>
    </w:p>
    <w:p w:rsidR="0089662C" w:rsidRPr="0089662C" w:rsidRDefault="00C75363" w:rsidP="0055506B">
      <w:pPr>
        <w:shd w:val="clear" w:color="auto" w:fill="FFFFFF"/>
        <w:spacing w:before="0" w:after="240"/>
        <w:contextualSpacing/>
        <w:rPr>
          <w:rFonts w:cs="Arial"/>
          <w:bCs/>
          <w:lang w:eastAsia="pt-PT"/>
        </w:rPr>
      </w:pPr>
      <w:r>
        <w:rPr>
          <w:rFonts w:cs="Arial"/>
          <w:bCs/>
          <w:lang w:eastAsia="pt-PT"/>
        </w:rPr>
        <w:t>El</w:t>
      </w:r>
      <w:r w:rsidR="0089662C" w:rsidRPr="0089662C">
        <w:rPr>
          <w:rFonts w:cs="Arial"/>
          <w:bCs/>
          <w:lang w:eastAsia="pt-PT"/>
        </w:rPr>
        <w:t xml:space="preserve"> presente trabajo fue desarrollado en la universidad “José Martí Pérez” de Sancti </w:t>
      </w:r>
      <w:proofErr w:type="spellStart"/>
      <w:r w:rsidR="002C3A8F">
        <w:rPr>
          <w:rFonts w:cs="Arial"/>
          <w:bCs/>
          <w:lang w:eastAsia="pt-PT"/>
        </w:rPr>
        <w:t>Spiritus</w:t>
      </w:r>
      <w:proofErr w:type="spellEnd"/>
      <w:r w:rsidR="002C3A8F">
        <w:rPr>
          <w:rFonts w:cs="Arial"/>
          <w:bCs/>
          <w:lang w:eastAsia="pt-PT"/>
        </w:rPr>
        <w:t xml:space="preserve"> con la variedad </w:t>
      </w:r>
      <w:proofErr w:type="spellStart"/>
      <w:r w:rsidR="002C3A8F">
        <w:rPr>
          <w:rFonts w:cs="Arial"/>
          <w:bCs/>
          <w:lang w:eastAsia="pt-PT"/>
        </w:rPr>
        <w:t>Maradol</w:t>
      </w:r>
      <w:proofErr w:type="spellEnd"/>
      <w:r w:rsidR="0089662C" w:rsidRPr="0089662C">
        <w:rPr>
          <w:rFonts w:cs="Arial"/>
          <w:bCs/>
          <w:lang w:eastAsia="pt-PT"/>
        </w:rPr>
        <w:t xml:space="preserve">. Los frutos utilizados de tamaño uniforme y un peso medio de 800 – 1 000 g, con estadio de maturación 1 (corresponde a frutos con hasta 15 % de cascara amarilla). Después de la cosecha, los frutos fueron transportados y envueltos individualmente con papel periódico para evitar daños mecánicos. Se utilizó un diseño experimental de bloque completamente al azar, con cuatro tratamientos y tres replicas. El total de frutos es de 18 por tratamientos (cada replica tenía seis frutos), todos los frutos fueron colocados en la misma posición. </w:t>
      </w:r>
    </w:p>
    <w:p w:rsidR="0089662C" w:rsidRPr="0089662C" w:rsidRDefault="0089662C" w:rsidP="0089662C">
      <w:pPr>
        <w:shd w:val="clear" w:color="auto" w:fill="FFFFFF"/>
        <w:spacing w:before="0" w:after="240"/>
        <w:contextualSpacing/>
        <w:rPr>
          <w:rFonts w:cs="Arial"/>
          <w:bCs/>
          <w:color w:val="C00000"/>
          <w:lang w:eastAsia="pt-PT"/>
        </w:rPr>
      </w:pPr>
      <w:r w:rsidRPr="0089662C">
        <w:rPr>
          <w:rFonts w:cs="Arial"/>
          <w:bCs/>
          <w:lang w:eastAsia="pt-PT"/>
        </w:rPr>
        <w:t xml:space="preserve">La disolución (1 %, 2%, y 3% p/v) fue preparada con 1g, 2g, 3g de almidón en 100 ml de agua destilada. La disolución de almidón fue gelatinizada a 75 </w:t>
      </w:r>
      <w:proofErr w:type="spellStart"/>
      <w:r w:rsidRPr="0089662C">
        <w:rPr>
          <w:rFonts w:cs="Arial"/>
          <w:bCs/>
          <w:lang w:eastAsia="pt-PT"/>
        </w:rPr>
        <w:t>ºC</w:t>
      </w:r>
      <w:proofErr w:type="spellEnd"/>
      <w:r w:rsidRPr="0089662C">
        <w:rPr>
          <w:rFonts w:cs="Arial"/>
          <w:bCs/>
          <w:lang w:eastAsia="pt-PT"/>
        </w:rPr>
        <w:t xml:space="preserve"> por 30 minutos y enfriada a 25 </w:t>
      </w:r>
      <w:proofErr w:type="spellStart"/>
      <w:r w:rsidRPr="0089662C">
        <w:rPr>
          <w:rFonts w:cs="Arial"/>
          <w:bCs/>
          <w:lang w:eastAsia="pt-PT"/>
        </w:rPr>
        <w:t>ºC</w:t>
      </w:r>
      <w:proofErr w:type="spellEnd"/>
      <w:r w:rsidRPr="0089662C">
        <w:rPr>
          <w:rFonts w:cs="Arial"/>
          <w:bCs/>
          <w:lang w:eastAsia="pt-PT"/>
        </w:rPr>
        <w:t xml:space="preserve">. Las evaluaciones ocurrieron cada cuatro días, por 16 días. Los frutos fueron mantenidos a temperatura ambiente. Este factor se controló tres veces al día, con </w:t>
      </w:r>
      <w:r w:rsidRPr="0089662C">
        <w:rPr>
          <w:rFonts w:cs="Arial"/>
          <w:bCs/>
          <w:lang w:eastAsia="pt-PT"/>
        </w:rPr>
        <w:lastRenderedPageBreak/>
        <w:t>el auxilio de un termómetro para su efecto en la maduración del fruto. Los tratamientos consistieron.</w:t>
      </w:r>
    </w:p>
    <w:p w:rsidR="0089662C" w:rsidRPr="0089662C" w:rsidRDefault="0089662C" w:rsidP="0089662C">
      <w:pPr>
        <w:numPr>
          <w:ilvl w:val="0"/>
          <w:numId w:val="22"/>
        </w:numPr>
        <w:shd w:val="clear" w:color="auto" w:fill="FFFFFF"/>
        <w:spacing w:before="0" w:after="240"/>
        <w:contextualSpacing/>
        <w:jc w:val="left"/>
        <w:rPr>
          <w:rFonts w:cs="Arial"/>
          <w:bCs/>
          <w:lang w:eastAsia="pt-PT"/>
        </w:rPr>
      </w:pPr>
      <w:r w:rsidRPr="0089662C">
        <w:rPr>
          <w:rFonts w:cs="Arial"/>
          <w:b/>
          <w:bCs/>
          <w:lang w:eastAsia="pt-PT"/>
        </w:rPr>
        <w:t>Tratamiento A:</w:t>
      </w:r>
      <w:r w:rsidRPr="0089662C">
        <w:rPr>
          <w:rFonts w:cs="Arial"/>
          <w:bCs/>
          <w:lang w:eastAsia="pt-PT"/>
        </w:rPr>
        <w:t xml:space="preserve"> control (sin cobertura).</w:t>
      </w:r>
    </w:p>
    <w:p w:rsidR="0089662C" w:rsidRPr="0089662C" w:rsidRDefault="0089662C" w:rsidP="0089662C">
      <w:pPr>
        <w:numPr>
          <w:ilvl w:val="0"/>
          <w:numId w:val="22"/>
        </w:numPr>
        <w:shd w:val="clear" w:color="auto" w:fill="FFFFFF"/>
        <w:spacing w:before="0" w:after="240"/>
        <w:contextualSpacing/>
        <w:jc w:val="left"/>
        <w:rPr>
          <w:rFonts w:cs="Arial"/>
          <w:bCs/>
          <w:lang w:eastAsia="pt-PT"/>
        </w:rPr>
      </w:pPr>
      <w:r w:rsidRPr="0089662C">
        <w:rPr>
          <w:rFonts w:cs="Arial"/>
          <w:b/>
          <w:bCs/>
          <w:lang w:eastAsia="pt-PT"/>
        </w:rPr>
        <w:t>Tratamiento B:</w:t>
      </w:r>
      <w:r w:rsidRPr="0089662C">
        <w:rPr>
          <w:rFonts w:cs="Arial"/>
          <w:bCs/>
          <w:lang w:eastAsia="pt-PT"/>
        </w:rPr>
        <w:t xml:space="preserve"> cobertura con almidón de yuca al 1 % en 100 ml H</w:t>
      </w:r>
      <w:r w:rsidRPr="0089662C">
        <w:rPr>
          <w:rFonts w:cs="Arial"/>
          <w:bCs/>
          <w:vertAlign w:val="subscript"/>
          <w:lang w:eastAsia="pt-PT"/>
        </w:rPr>
        <w:t>2</w:t>
      </w:r>
      <w:r w:rsidRPr="0089662C">
        <w:rPr>
          <w:rFonts w:cs="Arial"/>
          <w:bCs/>
          <w:lang w:eastAsia="pt-PT"/>
        </w:rPr>
        <w:t>O (p/v).</w:t>
      </w:r>
    </w:p>
    <w:p w:rsidR="0089662C" w:rsidRPr="0089662C" w:rsidRDefault="0089662C" w:rsidP="0089662C">
      <w:pPr>
        <w:numPr>
          <w:ilvl w:val="0"/>
          <w:numId w:val="22"/>
        </w:numPr>
        <w:shd w:val="clear" w:color="auto" w:fill="FFFFFF"/>
        <w:spacing w:before="0" w:after="240"/>
        <w:contextualSpacing/>
        <w:jc w:val="left"/>
        <w:rPr>
          <w:rFonts w:cs="Arial"/>
          <w:bCs/>
          <w:lang w:eastAsia="pt-PT"/>
        </w:rPr>
      </w:pPr>
      <w:r w:rsidRPr="0089662C">
        <w:rPr>
          <w:rFonts w:cs="Arial"/>
          <w:b/>
          <w:bCs/>
          <w:lang w:eastAsia="pt-PT"/>
        </w:rPr>
        <w:t>Tratamiento C:</w:t>
      </w:r>
      <w:r w:rsidRPr="0089662C">
        <w:rPr>
          <w:rFonts w:cs="Arial"/>
          <w:bCs/>
          <w:lang w:eastAsia="pt-PT"/>
        </w:rPr>
        <w:t xml:space="preserve"> cobertura con almidón de yuca al 2 % en 100 ml H</w:t>
      </w:r>
      <w:r w:rsidRPr="0089662C">
        <w:rPr>
          <w:rFonts w:cs="Arial"/>
          <w:bCs/>
          <w:vertAlign w:val="subscript"/>
          <w:lang w:eastAsia="pt-PT"/>
        </w:rPr>
        <w:t>2</w:t>
      </w:r>
      <w:r w:rsidRPr="0089662C">
        <w:rPr>
          <w:rFonts w:cs="Arial"/>
          <w:bCs/>
          <w:lang w:eastAsia="pt-PT"/>
        </w:rPr>
        <w:t>O (p/v).</w:t>
      </w:r>
    </w:p>
    <w:p w:rsidR="0089662C" w:rsidRPr="0089662C" w:rsidRDefault="0089662C" w:rsidP="0089662C">
      <w:pPr>
        <w:numPr>
          <w:ilvl w:val="0"/>
          <w:numId w:val="22"/>
        </w:numPr>
        <w:shd w:val="clear" w:color="auto" w:fill="FFFFFF"/>
        <w:spacing w:before="0" w:after="240"/>
        <w:contextualSpacing/>
        <w:jc w:val="left"/>
        <w:rPr>
          <w:rFonts w:cs="Arial"/>
          <w:bCs/>
          <w:lang w:eastAsia="pt-PT"/>
        </w:rPr>
      </w:pPr>
      <w:r w:rsidRPr="0089662C">
        <w:rPr>
          <w:rFonts w:cs="Arial"/>
          <w:b/>
          <w:bCs/>
          <w:lang w:eastAsia="pt-PT"/>
        </w:rPr>
        <w:t>Tratamiento D:</w:t>
      </w:r>
      <w:r w:rsidRPr="0089662C">
        <w:rPr>
          <w:rFonts w:cs="Arial"/>
          <w:bCs/>
          <w:lang w:eastAsia="pt-PT"/>
        </w:rPr>
        <w:t xml:space="preserve"> cobertura con almidón de yuca al 3 % en 100 ml H</w:t>
      </w:r>
      <w:r w:rsidRPr="0089662C">
        <w:rPr>
          <w:rFonts w:cs="Arial"/>
          <w:bCs/>
          <w:vertAlign w:val="subscript"/>
          <w:lang w:eastAsia="pt-PT"/>
        </w:rPr>
        <w:t>2</w:t>
      </w:r>
      <w:r w:rsidRPr="0089662C">
        <w:rPr>
          <w:rFonts w:cs="Arial"/>
          <w:bCs/>
          <w:lang w:eastAsia="pt-PT"/>
        </w:rPr>
        <w:t>O (p/v).</w:t>
      </w:r>
    </w:p>
    <w:p w:rsidR="0089662C" w:rsidRPr="0089662C" w:rsidRDefault="0089662C" w:rsidP="0089662C">
      <w:pPr>
        <w:shd w:val="clear" w:color="auto" w:fill="FFFFFF"/>
        <w:spacing w:before="0" w:after="240"/>
        <w:contextualSpacing/>
        <w:rPr>
          <w:rFonts w:cs="Arial"/>
          <w:bCs/>
          <w:lang w:eastAsia="pt-PT"/>
        </w:rPr>
      </w:pPr>
      <w:r w:rsidRPr="0089662C">
        <w:rPr>
          <w:rFonts w:cs="Arial"/>
          <w:bCs/>
          <w:lang w:eastAsia="pt-PT"/>
        </w:rPr>
        <w:t xml:space="preserve">Los frutos fueron lavados con detergente neutro, y en seguida sometidos a inmersión en una disolución de hipoclorito de sodio al 0,5 % por tres minutos para desinfectarlos y secados al aire libre, según recomienda </w:t>
      </w:r>
      <w:proofErr w:type="spellStart"/>
      <w:r w:rsidRPr="0089662C">
        <w:rPr>
          <w:rFonts w:cs="Arial"/>
          <w:bCs/>
          <w:lang w:eastAsia="pt-PT"/>
        </w:rPr>
        <w:t>Pereida</w:t>
      </w:r>
      <w:proofErr w:type="spellEnd"/>
      <w:r w:rsidRPr="0089662C">
        <w:rPr>
          <w:rFonts w:cs="Arial"/>
          <w:bCs/>
          <w:lang w:eastAsia="pt-PT"/>
        </w:rPr>
        <w:t xml:space="preserve"> et al. (2016). Después de la desinfección se le aplicó cobertura a cada fruto en función de su concentración por un minuto, los frutos fueron dispuestos en bandejas para su maduración. Las evaluaciones ocurrieron cada cuatro días, por 16 días. </w:t>
      </w:r>
    </w:p>
    <w:p w:rsidR="0089662C" w:rsidRPr="0089662C" w:rsidRDefault="0089662C" w:rsidP="0089662C">
      <w:pPr>
        <w:shd w:val="clear" w:color="auto" w:fill="FFFFFF"/>
        <w:spacing w:before="0" w:after="240"/>
        <w:contextualSpacing/>
        <w:rPr>
          <w:rFonts w:cs="Arial"/>
          <w:bCs/>
          <w:lang w:eastAsia="pt-PT"/>
        </w:rPr>
      </w:pPr>
      <w:r w:rsidRPr="0089662C">
        <w:rPr>
          <w:rFonts w:cs="Arial"/>
          <w:bCs/>
          <w:lang w:eastAsia="pt-PT"/>
        </w:rPr>
        <w:t>Para la obtención de almidón de yuca: primero lavar bien y pelar la yuca. Después rayarla, colocarla en un cubo con agua. Preparar un lienzo fino en forma de amaca, donde se adicionará la yuca rayada con agua, con el objetivo de presionarla y extraer el almidón. El líquido recogido en el cubo se quedará en reposo toda la noche, al día siguiente retiramos el agua, dejando el almidón de color blanco en el fondo, después se deja secar al sol. El resultado obtenido es el almidón de yuca. En el experimento se utilizó 5 kg de yuca obteniendo como resultado 57 g de almidón.</w:t>
      </w:r>
    </w:p>
    <w:p w:rsidR="0089662C" w:rsidRPr="0089662C" w:rsidRDefault="0089662C" w:rsidP="0089662C">
      <w:pPr>
        <w:shd w:val="clear" w:color="auto" w:fill="FFFFFF"/>
        <w:spacing w:before="0" w:after="240"/>
        <w:contextualSpacing/>
        <w:rPr>
          <w:rFonts w:cs="Arial"/>
          <w:bCs/>
          <w:lang w:eastAsia="pt-PT"/>
        </w:rPr>
      </w:pPr>
      <w:r w:rsidRPr="0089662C">
        <w:rPr>
          <w:rFonts w:cs="Arial"/>
          <w:b/>
          <w:bCs/>
          <w:lang w:eastAsia="pt-PT"/>
        </w:rPr>
        <w:t>Pérdida de masa fresca (PMF)</w:t>
      </w:r>
      <w:r w:rsidRPr="0089662C">
        <w:rPr>
          <w:rFonts w:cs="Arial"/>
          <w:bCs/>
          <w:lang w:eastAsia="pt-PT"/>
        </w:rPr>
        <w:t xml:space="preserve"> </w:t>
      </w:r>
    </w:p>
    <w:p w:rsidR="0089662C" w:rsidRPr="0089662C" w:rsidRDefault="0089662C" w:rsidP="0089662C">
      <w:pPr>
        <w:spacing w:before="0" w:after="0"/>
        <w:rPr>
          <w:rFonts w:eastAsia="Calibri" w:cs="Arial"/>
          <w:lang w:eastAsia="en-US"/>
        </w:rPr>
      </w:pPr>
      <w:r w:rsidRPr="0089662C">
        <w:rPr>
          <w:rFonts w:eastAsia="Calibri" w:cs="Arial"/>
          <w:lang w:eastAsia="en-US"/>
        </w:rPr>
        <w:t>La pérdida de masa fresca fue obtenida por la diferencia entre la masa fresca inicial y la masa fresca en el momento de la evaluación (</w:t>
      </w:r>
      <w:r w:rsidRPr="0089662C">
        <w:rPr>
          <w:rFonts w:cs="Arial"/>
          <w:bCs/>
          <w:lang w:eastAsia="pt-PT"/>
        </w:rPr>
        <w:t xml:space="preserve">fórmula </w:t>
      </w:r>
      <w:r w:rsidR="00E73C99" w:rsidRPr="00E73C99">
        <w:rPr>
          <w:rFonts w:cs="Arial"/>
          <w:bCs/>
          <w:lang w:eastAsia="pt-PT"/>
        </w:rPr>
        <w:t>1</w:t>
      </w:r>
      <w:r w:rsidRPr="0089662C">
        <w:rPr>
          <w:rFonts w:cs="Arial"/>
          <w:bCs/>
          <w:lang w:eastAsia="pt-PT"/>
        </w:rPr>
        <w:t xml:space="preserve">), a través del pesaje de los frutos en balanza </w:t>
      </w:r>
      <w:proofErr w:type="spellStart"/>
      <w:r w:rsidRPr="0089662C">
        <w:rPr>
          <w:rFonts w:cs="Arial"/>
          <w:bCs/>
          <w:lang w:eastAsia="pt-PT"/>
        </w:rPr>
        <w:t>semi</w:t>
      </w:r>
      <w:proofErr w:type="spellEnd"/>
      <w:r w:rsidRPr="0089662C">
        <w:rPr>
          <w:rFonts w:cs="Arial"/>
          <w:bCs/>
          <w:lang w:eastAsia="pt-PT"/>
        </w:rPr>
        <w:t xml:space="preserve">-analítica con precisión de 0,01g. </w:t>
      </w:r>
    </w:p>
    <w:p w:rsidR="0089662C" w:rsidRPr="0089662C" w:rsidRDefault="0089662C" w:rsidP="0089662C">
      <w:pPr>
        <w:spacing w:before="0" w:after="160"/>
        <w:jc w:val="center"/>
        <w:rPr>
          <w:rFonts w:eastAsia="Calibri" w:cs="Arial"/>
          <w:noProof/>
          <w:lang w:eastAsia="en-US"/>
        </w:rPr>
      </w:pPr>
      <w:r w:rsidRPr="00E73C99">
        <w:rPr>
          <w:rFonts w:eastAsia="Calibri" w:cs="Arial"/>
          <w:noProof/>
        </w:rPr>
        <w:drawing>
          <wp:inline distT="0" distB="0" distL="0" distR="0" wp14:anchorId="00D0C839" wp14:editId="649DE26F">
            <wp:extent cx="1121410" cy="276225"/>
            <wp:effectExtent l="0" t="0" r="254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extLst>
                        <a:ext uri="{28A0092B-C50C-407E-A947-70E740481C1C}">
                          <a14:useLocalDpi xmlns:a14="http://schemas.microsoft.com/office/drawing/2010/main" val="0"/>
                        </a:ext>
                      </a:extLst>
                    </a:blip>
                    <a:srcRect t="11891" r="7527" b="12798"/>
                    <a:stretch>
                      <a:fillRect/>
                    </a:stretch>
                  </pic:blipFill>
                  <pic:spPr bwMode="auto">
                    <a:xfrm>
                      <a:off x="0" y="0"/>
                      <a:ext cx="1121410" cy="276225"/>
                    </a:xfrm>
                    <a:prstGeom prst="rect">
                      <a:avLst/>
                    </a:prstGeom>
                    <a:noFill/>
                    <a:ln>
                      <a:noFill/>
                    </a:ln>
                  </pic:spPr>
                </pic:pic>
              </a:graphicData>
            </a:graphic>
          </wp:inline>
        </w:drawing>
      </w:r>
      <w:r w:rsidRPr="0089662C">
        <w:rPr>
          <w:rFonts w:eastAsia="Calibri" w:cs="Arial"/>
          <w:noProof/>
          <w:lang w:eastAsia="en-US"/>
        </w:rPr>
        <w:t xml:space="preserve">                                             </w:t>
      </w:r>
      <w:r w:rsidR="00E73C99" w:rsidRPr="00E73C99">
        <w:rPr>
          <w:rFonts w:eastAsia="Calibri" w:cs="Arial"/>
          <w:snapToGrid w:val="0"/>
          <w:lang w:eastAsia="en-US"/>
        </w:rPr>
        <w:t>[</w:t>
      </w:r>
      <w:r w:rsidRPr="0089662C">
        <w:rPr>
          <w:rFonts w:eastAsia="Calibri" w:cs="Arial"/>
          <w:snapToGrid w:val="0"/>
          <w:lang w:eastAsia="en-US"/>
        </w:rPr>
        <w:t>1]</w:t>
      </w:r>
    </w:p>
    <w:p w:rsidR="0089662C" w:rsidRPr="0089662C" w:rsidRDefault="0089662C" w:rsidP="0055506B">
      <w:pPr>
        <w:spacing w:before="0" w:after="0"/>
        <w:rPr>
          <w:rFonts w:eastAsia="Calibri" w:cs="Arial"/>
          <w:lang w:eastAsia="en-US"/>
        </w:rPr>
      </w:pPr>
      <w:r w:rsidRPr="0089662C">
        <w:rPr>
          <w:rFonts w:eastAsia="Calibri" w:cs="Arial"/>
          <w:lang w:eastAsia="en-US"/>
        </w:rPr>
        <w:t xml:space="preserve">Dónde: PMF: pérdida de masa fresca (%); Pi masa inicial (masa de la fruta en el día de la aplicación del tratamiento); </w:t>
      </w:r>
      <w:proofErr w:type="spellStart"/>
      <w:r w:rsidRPr="0089662C">
        <w:rPr>
          <w:rFonts w:eastAsia="Calibri" w:cs="Arial"/>
          <w:lang w:eastAsia="en-US"/>
        </w:rPr>
        <w:t>Pf</w:t>
      </w:r>
      <w:proofErr w:type="spellEnd"/>
      <w:r w:rsidRPr="0089662C">
        <w:rPr>
          <w:rFonts w:eastAsia="Calibri" w:cs="Arial"/>
          <w:lang w:eastAsia="en-US"/>
        </w:rPr>
        <w:t>: masa final (masa en el día de la evaluación).</w:t>
      </w:r>
    </w:p>
    <w:p w:rsidR="0089662C" w:rsidRPr="0089662C" w:rsidRDefault="0089662C" w:rsidP="0055506B">
      <w:pPr>
        <w:shd w:val="clear" w:color="auto" w:fill="FFFFFF"/>
        <w:spacing w:before="0" w:after="0"/>
        <w:contextualSpacing/>
        <w:rPr>
          <w:rFonts w:cs="Arial"/>
          <w:b/>
          <w:bCs/>
          <w:lang w:eastAsia="pt-PT"/>
        </w:rPr>
      </w:pPr>
      <w:r w:rsidRPr="0089662C">
        <w:rPr>
          <w:rFonts w:cs="Arial"/>
          <w:b/>
          <w:bCs/>
          <w:lang w:eastAsia="pt-PT"/>
        </w:rPr>
        <w:t>Apariencia externa (AE)</w:t>
      </w:r>
    </w:p>
    <w:p w:rsidR="0089662C" w:rsidRPr="0089662C" w:rsidRDefault="0089662C" w:rsidP="0055506B">
      <w:pPr>
        <w:spacing w:before="0"/>
        <w:rPr>
          <w:rFonts w:cs="Arial"/>
          <w:bCs/>
          <w:lang w:eastAsia="pt-PT"/>
        </w:rPr>
      </w:pPr>
      <w:r w:rsidRPr="0089662C">
        <w:rPr>
          <w:rFonts w:cs="Arial"/>
          <w:bCs/>
          <w:lang w:eastAsia="pt-PT"/>
        </w:rPr>
        <w:t xml:space="preserve">Se evaluó a través del porcentaje del área dañada del fruto por una escala de valores de 0 a 5, grados según </w:t>
      </w:r>
      <w:proofErr w:type="spellStart"/>
      <w:r w:rsidRPr="0089662C">
        <w:rPr>
          <w:rFonts w:cs="Arial"/>
          <w:bCs/>
          <w:lang w:eastAsia="pt-PT"/>
        </w:rPr>
        <w:t>Aghdam</w:t>
      </w:r>
      <w:proofErr w:type="spellEnd"/>
      <w:r w:rsidRPr="0089662C">
        <w:rPr>
          <w:rFonts w:cs="Arial"/>
          <w:bCs/>
          <w:lang w:eastAsia="pt-PT"/>
        </w:rPr>
        <w:t xml:space="preserve"> et al. (2013). Los frutos con valores iguales o superiores a </w:t>
      </w:r>
      <w:r w:rsidRPr="0089662C">
        <w:rPr>
          <w:rFonts w:cs="Arial"/>
          <w:bCs/>
          <w:lang w:eastAsia="pt-PT"/>
        </w:rPr>
        <w:lastRenderedPageBreak/>
        <w:t>cuatro fueron considerados impropios para consumir. Se observó, en la apariencia externa: depresiones, manchas y manifestaciones de enfermedades.</w:t>
      </w:r>
    </w:p>
    <w:p w:rsidR="0089662C" w:rsidRPr="0089662C" w:rsidRDefault="0089662C" w:rsidP="0089662C">
      <w:pPr>
        <w:numPr>
          <w:ilvl w:val="0"/>
          <w:numId w:val="23"/>
        </w:numPr>
        <w:spacing w:before="0" w:after="0"/>
        <w:jc w:val="left"/>
        <w:rPr>
          <w:rFonts w:eastAsia="Calibri" w:cs="Arial"/>
          <w:lang w:eastAsia="en-US"/>
        </w:rPr>
      </w:pPr>
      <w:r w:rsidRPr="0089662C">
        <w:rPr>
          <w:rFonts w:eastAsia="Calibri" w:cs="Arial"/>
          <w:lang w:eastAsia="en-US"/>
        </w:rPr>
        <w:t xml:space="preserve">Grados 1: sin deterioración; </w:t>
      </w:r>
    </w:p>
    <w:p w:rsidR="0089662C" w:rsidRPr="0089662C" w:rsidRDefault="0089662C" w:rsidP="0089662C">
      <w:pPr>
        <w:numPr>
          <w:ilvl w:val="0"/>
          <w:numId w:val="23"/>
        </w:numPr>
        <w:spacing w:before="0" w:after="0"/>
        <w:jc w:val="left"/>
        <w:rPr>
          <w:rFonts w:eastAsia="Calibri" w:cs="Arial"/>
          <w:lang w:eastAsia="en-US"/>
        </w:rPr>
      </w:pPr>
      <w:r w:rsidRPr="0089662C">
        <w:rPr>
          <w:rFonts w:eastAsia="Calibri" w:cs="Arial"/>
          <w:lang w:eastAsia="en-US"/>
        </w:rPr>
        <w:t xml:space="preserve">Grados 2: hasta 5 % de área dañada; </w:t>
      </w:r>
    </w:p>
    <w:p w:rsidR="0089662C" w:rsidRPr="0089662C" w:rsidRDefault="0089662C" w:rsidP="0089662C">
      <w:pPr>
        <w:numPr>
          <w:ilvl w:val="0"/>
          <w:numId w:val="23"/>
        </w:numPr>
        <w:spacing w:before="0" w:after="0"/>
        <w:jc w:val="left"/>
        <w:rPr>
          <w:rFonts w:eastAsia="Calibri" w:cs="Arial"/>
          <w:lang w:eastAsia="en-US"/>
        </w:rPr>
      </w:pPr>
      <w:r w:rsidRPr="0089662C">
        <w:rPr>
          <w:rFonts w:eastAsia="Calibri" w:cs="Arial"/>
          <w:lang w:eastAsia="en-US"/>
        </w:rPr>
        <w:t xml:space="preserve">Grados 3: hasta 10 % de área dañada; </w:t>
      </w:r>
    </w:p>
    <w:p w:rsidR="0089662C" w:rsidRPr="0089662C" w:rsidRDefault="0089662C" w:rsidP="0089662C">
      <w:pPr>
        <w:numPr>
          <w:ilvl w:val="0"/>
          <w:numId w:val="23"/>
        </w:numPr>
        <w:spacing w:before="0" w:after="0"/>
        <w:jc w:val="left"/>
        <w:rPr>
          <w:rFonts w:eastAsia="Calibri" w:cs="Arial"/>
          <w:lang w:eastAsia="en-US"/>
        </w:rPr>
      </w:pPr>
      <w:r w:rsidRPr="0089662C">
        <w:rPr>
          <w:rFonts w:eastAsia="Calibri" w:cs="Arial"/>
          <w:lang w:eastAsia="en-US"/>
        </w:rPr>
        <w:t xml:space="preserve">Grados 4: hasta 15 % de área dañada; </w:t>
      </w:r>
    </w:p>
    <w:p w:rsidR="0089662C" w:rsidRPr="0089662C" w:rsidRDefault="0089662C" w:rsidP="0089662C">
      <w:pPr>
        <w:numPr>
          <w:ilvl w:val="0"/>
          <w:numId w:val="23"/>
        </w:numPr>
        <w:spacing w:before="0" w:after="0"/>
        <w:jc w:val="left"/>
        <w:rPr>
          <w:rFonts w:eastAsia="Calibri" w:cs="Arial"/>
          <w:lang w:eastAsia="en-US"/>
        </w:rPr>
      </w:pPr>
      <w:r w:rsidRPr="0089662C">
        <w:rPr>
          <w:rFonts w:eastAsia="Calibri" w:cs="Arial"/>
          <w:lang w:eastAsia="en-US"/>
        </w:rPr>
        <w:t>Grados 5: mayor que 15 % de área dañada.</w:t>
      </w:r>
    </w:p>
    <w:p w:rsidR="0089662C" w:rsidRPr="0089662C" w:rsidRDefault="0089662C" w:rsidP="0089662C">
      <w:pPr>
        <w:shd w:val="clear" w:color="auto" w:fill="FFFFFF"/>
        <w:spacing w:before="0" w:after="240"/>
        <w:contextualSpacing/>
        <w:rPr>
          <w:rFonts w:eastAsia="Calibri" w:cs="Arial"/>
          <w:b/>
          <w:lang w:eastAsia="en-US"/>
        </w:rPr>
      </w:pPr>
      <w:r w:rsidRPr="0089662C">
        <w:rPr>
          <w:rFonts w:eastAsia="Calibri" w:cs="Arial"/>
          <w:b/>
          <w:lang w:eastAsia="en-US"/>
        </w:rPr>
        <w:t>Índice de color de la cascara (CC)</w:t>
      </w:r>
    </w:p>
    <w:p w:rsidR="0089662C" w:rsidRDefault="00C75363" w:rsidP="0089662C">
      <w:pPr>
        <w:spacing w:before="0" w:after="160"/>
        <w:rPr>
          <w:rFonts w:eastAsia="Calibri" w:cs="Arial"/>
          <w:lang w:eastAsia="en-US"/>
        </w:rPr>
      </w:pPr>
      <w:r>
        <w:rPr>
          <w:rFonts w:eastAsia="Calibri" w:cs="Arial"/>
          <w:lang w:eastAsia="en-US"/>
        </w:rPr>
        <w:t xml:space="preserve"> </w:t>
      </w:r>
      <w:r w:rsidR="0089662C" w:rsidRPr="0089662C">
        <w:rPr>
          <w:rFonts w:eastAsia="Calibri" w:cs="Arial"/>
          <w:lang w:eastAsia="en-US"/>
        </w:rPr>
        <w:t>Este índice fue determinado cada cuatro días, por 16 días, siguiendo una escala visual de acuerdo con cinco estadios de maduración, que garantiza la homogeneidad de la co</w:t>
      </w:r>
      <w:r w:rsidR="002C3A8F">
        <w:rPr>
          <w:rFonts w:eastAsia="Calibri" w:cs="Arial"/>
          <w:lang w:eastAsia="en-US"/>
        </w:rPr>
        <w:t xml:space="preserve">loración, o grado de maduración. </w:t>
      </w:r>
      <w:r w:rsidR="0089662C" w:rsidRPr="0089662C">
        <w:rPr>
          <w:rFonts w:eastAsia="Calibri" w:cs="Arial"/>
          <w:lang w:eastAsia="en-US"/>
        </w:rPr>
        <w:t>Esta escala visual varia de “1” a “5” con las características visuales del fruto con relación al color amarillo, que caracterizan el proceso de maduración, denominado índice de color de la cascara</w:t>
      </w:r>
      <w:r w:rsidR="002C3A8F">
        <w:rPr>
          <w:rFonts w:eastAsia="Calibri" w:cs="Arial"/>
          <w:lang w:eastAsia="en-US"/>
        </w:rPr>
        <w:t>,</w:t>
      </w:r>
      <w:r w:rsidR="002C3A8F" w:rsidRPr="002C3A8F">
        <w:rPr>
          <w:rFonts w:eastAsia="Calibri" w:cs="Arial"/>
          <w:lang w:eastAsia="en-US"/>
        </w:rPr>
        <w:t xml:space="preserve"> </w:t>
      </w:r>
      <w:r w:rsidR="002C3A8F" w:rsidRPr="0089662C">
        <w:rPr>
          <w:rFonts w:eastAsia="Calibri" w:cs="Arial"/>
          <w:lang w:eastAsia="en-US"/>
        </w:rPr>
        <w:t>metodologí</w:t>
      </w:r>
      <w:r w:rsidR="002C3A8F">
        <w:rPr>
          <w:rFonts w:eastAsia="Calibri" w:cs="Arial"/>
          <w:lang w:eastAsia="en-US"/>
        </w:rPr>
        <w:t xml:space="preserve">a propuesta por </w:t>
      </w:r>
      <w:proofErr w:type="spellStart"/>
      <w:r w:rsidR="002C3A8F">
        <w:rPr>
          <w:rFonts w:eastAsia="Calibri" w:cs="Arial"/>
          <w:lang w:eastAsia="en-US"/>
        </w:rPr>
        <w:t>Ceagesp</w:t>
      </w:r>
      <w:proofErr w:type="spellEnd"/>
      <w:r w:rsidR="002C3A8F">
        <w:rPr>
          <w:rFonts w:eastAsia="Calibri" w:cs="Arial"/>
          <w:lang w:eastAsia="en-US"/>
        </w:rPr>
        <w:t>, (2015)</w:t>
      </w:r>
      <w:r w:rsidR="0089662C" w:rsidRPr="0089662C">
        <w:rPr>
          <w:rFonts w:eastAsia="Calibri" w:cs="Arial"/>
          <w:lang w:eastAsia="en-US"/>
        </w:rPr>
        <w:t xml:space="preserve">. </w:t>
      </w:r>
    </w:p>
    <w:p w:rsidR="002C3A8F" w:rsidRPr="0089662C" w:rsidRDefault="002C3A8F" w:rsidP="00001A65">
      <w:pPr>
        <w:numPr>
          <w:ilvl w:val="0"/>
          <w:numId w:val="24"/>
        </w:numPr>
        <w:spacing w:before="0" w:after="0" w:line="240" w:lineRule="auto"/>
        <w:ind w:left="310" w:hanging="310"/>
        <w:jc w:val="left"/>
        <w:rPr>
          <w:rFonts w:eastAsia="Calibri" w:cs="Arial"/>
          <w:lang w:eastAsia="en-US"/>
        </w:rPr>
      </w:pPr>
      <w:r w:rsidRPr="0089662C">
        <w:rPr>
          <w:rFonts w:eastAsia="Calibri" w:cs="Arial"/>
          <w:lang w:eastAsia="en-US"/>
        </w:rPr>
        <w:t>Estadio 1: fruto con hasta 15% de la cascara amarilla.</w:t>
      </w:r>
    </w:p>
    <w:p w:rsidR="002C3A8F" w:rsidRPr="0089662C" w:rsidRDefault="002C3A8F" w:rsidP="00001A65">
      <w:pPr>
        <w:numPr>
          <w:ilvl w:val="0"/>
          <w:numId w:val="24"/>
        </w:numPr>
        <w:spacing w:before="0" w:after="0" w:line="240" w:lineRule="auto"/>
        <w:ind w:left="310" w:hanging="310"/>
        <w:jc w:val="left"/>
        <w:rPr>
          <w:rFonts w:eastAsia="Calibri" w:cs="Arial"/>
          <w:lang w:eastAsia="en-US"/>
        </w:rPr>
      </w:pPr>
      <w:r w:rsidRPr="0089662C">
        <w:rPr>
          <w:rFonts w:eastAsia="Calibri" w:cs="Arial"/>
          <w:lang w:eastAsia="en-US"/>
        </w:rPr>
        <w:t>Estadio 2: fruto con hasta 15 a 25 % de la cascara amarilla.</w:t>
      </w:r>
    </w:p>
    <w:p w:rsidR="002C3A8F" w:rsidRPr="0089662C" w:rsidRDefault="002C3A8F" w:rsidP="00001A65">
      <w:pPr>
        <w:numPr>
          <w:ilvl w:val="0"/>
          <w:numId w:val="24"/>
        </w:numPr>
        <w:spacing w:before="0" w:after="0" w:line="240" w:lineRule="auto"/>
        <w:ind w:left="310" w:hanging="310"/>
        <w:jc w:val="left"/>
        <w:rPr>
          <w:rFonts w:eastAsia="Calibri" w:cs="Arial"/>
          <w:lang w:eastAsia="en-US"/>
        </w:rPr>
      </w:pPr>
      <w:r w:rsidRPr="0089662C">
        <w:rPr>
          <w:rFonts w:eastAsia="Calibri" w:cs="Arial"/>
          <w:lang w:eastAsia="en-US"/>
        </w:rPr>
        <w:t>Estadio 3: fruto con hasta 25 a 50 % de la cascara amarilla.</w:t>
      </w:r>
    </w:p>
    <w:p w:rsidR="002C3A8F" w:rsidRPr="002C3A8F" w:rsidRDefault="002C3A8F" w:rsidP="00001A65">
      <w:pPr>
        <w:numPr>
          <w:ilvl w:val="0"/>
          <w:numId w:val="24"/>
        </w:numPr>
        <w:spacing w:before="0" w:after="0" w:line="240" w:lineRule="auto"/>
        <w:ind w:left="310" w:hanging="310"/>
        <w:jc w:val="left"/>
        <w:rPr>
          <w:rFonts w:eastAsia="Calibri" w:cs="Arial"/>
          <w:i/>
          <w:lang w:eastAsia="en-US"/>
        </w:rPr>
      </w:pPr>
      <w:r w:rsidRPr="002C3A8F">
        <w:rPr>
          <w:rFonts w:eastAsia="Calibri" w:cs="Arial"/>
          <w:lang w:eastAsia="en-US"/>
        </w:rPr>
        <w:t>Estadio 4: fruto con hasta 50 a 75 % de la cascara amarilla.</w:t>
      </w:r>
    </w:p>
    <w:p w:rsidR="00D05D7E" w:rsidRPr="002C3A8F" w:rsidRDefault="002C3A8F" w:rsidP="00001A65">
      <w:pPr>
        <w:numPr>
          <w:ilvl w:val="0"/>
          <w:numId w:val="24"/>
        </w:numPr>
        <w:spacing w:before="0" w:after="0" w:line="240" w:lineRule="auto"/>
        <w:ind w:left="310" w:hanging="310"/>
        <w:jc w:val="left"/>
        <w:rPr>
          <w:rFonts w:eastAsia="Calibri" w:cs="Arial"/>
          <w:i/>
          <w:lang w:eastAsia="en-US"/>
        </w:rPr>
      </w:pPr>
      <w:r w:rsidRPr="002C3A8F">
        <w:rPr>
          <w:rFonts w:eastAsia="Calibri" w:cs="Arial"/>
          <w:lang w:eastAsia="en-US"/>
        </w:rPr>
        <w:t>Estadio 5: fruto con hasta 75 a 100 % de la cascara amarilla.</w:t>
      </w:r>
    </w:p>
    <w:p w:rsidR="00001A65" w:rsidRPr="00001A65" w:rsidRDefault="00001A65" w:rsidP="0089662C">
      <w:pPr>
        <w:spacing w:before="0" w:after="0"/>
        <w:rPr>
          <w:rFonts w:cs="Arial"/>
          <w:b/>
          <w:bCs/>
          <w:sz w:val="20"/>
          <w:lang w:eastAsia="pt-PT"/>
        </w:rPr>
      </w:pPr>
    </w:p>
    <w:p w:rsidR="0089662C" w:rsidRPr="0089662C" w:rsidRDefault="0089662C" w:rsidP="0089662C">
      <w:pPr>
        <w:spacing w:before="0" w:after="0"/>
        <w:rPr>
          <w:rFonts w:cs="Arial"/>
          <w:b/>
          <w:bCs/>
          <w:lang w:eastAsia="pt-PT"/>
        </w:rPr>
      </w:pPr>
      <w:r w:rsidRPr="0089662C">
        <w:rPr>
          <w:rFonts w:cs="Arial"/>
          <w:b/>
          <w:bCs/>
          <w:lang w:eastAsia="pt-PT"/>
        </w:rPr>
        <w:t>Determinación del pH</w:t>
      </w:r>
    </w:p>
    <w:p w:rsidR="0089662C" w:rsidRPr="0089662C" w:rsidRDefault="0089662C" w:rsidP="0089662C">
      <w:pPr>
        <w:spacing w:before="0" w:after="0"/>
        <w:rPr>
          <w:rFonts w:cs="Arial"/>
          <w:bCs/>
          <w:lang w:eastAsia="pt-PT"/>
        </w:rPr>
      </w:pPr>
      <w:r w:rsidRPr="0089662C">
        <w:rPr>
          <w:rFonts w:cs="Arial"/>
          <w:bCs/>
          <w:lang w:eastAsia="pt-PT"/>
        </w:rPr>
        <w:t xml:space="preserve">El pH, se determinó con un potenciómetro digital previamente calibrado con disoluciones patrones de pH 7,0 y 4,0. Se utilizó una muestra de 10 ml de jugo de fruta diluida en 90 ml de agua destilada. </w:t>
      </w:r>
    </w:p>
    <w:p w:rsidR="0089662C" w:rsidRPr="0089662C" w:rsidRDefault="002C3A8F" w:rsidP="0089662C">
      <w:pPr>
        <w:spacing w:before="0" w:after="0"/>
        <w:rPr>
          <w:rFonts w:cs="Arial"/>
          <w:b/>
          <w:bCs/>
          <w:lang w:eastAsia="pt-PT"/>
        </w:rPr>
      </w:pPr>
      <w:r>
        <w:rPr>
          <w:rFonts w:cs="Arial"/>
          <w:b/>
          <w:bCs/>
          <w:lang w:eastAsia="pt-PT"/>
        </w:rPr>
        <w:t>S</w:t>
      </w:r>
      <w:r w:rsidR="0089662C" w:rsidRPr="0089662C">
        <w:rPr>
          <w:rFonts w:cs="Arial"/>
          <w:b/>
          <w:bCs/>
          <w:lang w:eastAsia="pt-PT"/>
        </w:rPr>
        <w:t>ólidos solubles (SS)</w:t>
      </w:r>
    </w:p>
    <w:p w:rsidR="0089662C" w:rsidRPr="0089662C" w:rsidRDefault="0089662C" w:rsidP="0089662C">
      <w:pPr>
        <w:spacing w:before="0" w:after="0"/>
        <w:rPr>
          <w:rFonts w:cs="Arial"/>
          <w:bCs/>
          <w:lang w:eastAsia="pt-PT"/>
        </w:rPr>
      </w:pPr>
      <w:r w:rsidRPr="0089662C">
        <w:rPr>
          <w:rFonts w:cs="Arial"/>
          <w:bCs/>
          <w:lang w:eastAsia="pt-PT"/>
        </w:rPr>
        <w:t xml:space="preserve">Se utilizó un refractómetro digital modelo RTD-45 y el resultado expresado en </w:t>
      </w:r>
      <w:r w:rsidRPr="0089662C">
        <w:rPr>
          <w:rFonts w:cs="Arial"/>
          <w:bCs/>
          <w:vertAlign w:val="superscript"/>
          <w:lang w:eastAsia="pt-PT"/>
        </w:rPr>
        <w:t xml:space="preserve">o </w:t>
      </w:r>
      <w:r w:rsidRPr="0089662C">
        <w:rPr>
          <w:rFonts w:cs="Arial"/>
          <w:bCs/>
          <w:lang w:eastAsia="pt-PT"/>
        </w:rPr>
        <w:t xml:space="preserve">Brix (Pereira </w:t>
      </w:r>
      <w:r w:rsidRPr="0089662C">
        <w:rPr>
          <w:rFonts w:cs="Arial"/>
          <w:bCs/>
          <w:i/>
          <w:lang w:eastAsia="pt-PT"/>
        </w:rPr>
        <w:t>et al</w:t>
      </w:r>
      <w:r w:rsidRPr="0089662C">
        <w:rPr>
          <w:rFonts w:cs="Arial"/>
          <w:bCs/>
          <w:lang w:eastAsia="pt-PT"/>
        </w:rPr>
        <w:t>., 2016). Se utilizó una muestra de 10 ml de jugo de la fruta diluida en 90 ml de agua destilada.</w:t>
      </w:r>
    </w:p>
    <w:p w:rsidR="0089662C" w:rsidRPr="0089662C" w:rsidRDefault="002C3A8F" w:rsidP="0089662C">
      <w:pPr>
        <w:spacing w:before="0" w:after="0"/>
        <w:rPr>
          <w:rFonts w:eastAsia="Calibri" w:cs="Arial"/>
          <w:b/>
          <w:color w:val="000000"/>
          <w:lang w:eastAsia="en-US"/>
        </w:rPr>
      </w:pPr>
      <w:r>
        <w:rPr>
          <w:rFonts w:eastAsia="Calibri" w:cs="Arial"/>
          <w:b/>
          <w:color w:val="000000"/>
          <w:lang w:eastAsia="en-US"/>
        </w:rPr>
        <w:t>A</w:t>
      </w:r>
      <w:r w:rsidR="0089662C" w:rsidRPr="0089662C">
        <w:rPr>
          <w:rFonts w:eastAsia="Calibri" w:cs="Arial"/>
          <w:b/>
          <w:color w:val="000000"/>
          <w:lang w:eastAsia="en-US"/>
        </w:rPr>
        <w:t xml:space="preserve">cidez </w:t>
      </w:r>
      <w:proofErr w:type="spellStart"/>
      <w:r w:rsidR="0089662C" w:rsidRPr="0089662C">
        <w:rPr>
          <w:rFonts w:eastAsia="Calibri" w:cs="Arial"/>
          <w:b/>
          <w:color w:val="000000"/>
          <w:lang w:eastAsia="en-US"/>
        </w:rPr>
        <w:t>titulable</w:t>
      </w:r>
      <w:proofErr w:type="spellEnd"/>
      <w:r w:rsidR="0089662C" w:rsidRPr="0089662C">
        <w:rPr>
          <w:rFonts w:eastAsia="Calibri" w:cs="Arial"/>
          <w:b/>
          <w:color w:val="000000"/>
          <w:lang w:eastAsia="en-US"/>
        </w:rPr>
        <w:t xml:space="preserve"> (AT)</w:t>
      </w:r>
    </w:p>
    <w:p w:rsidR="0089662C" w:rsidRPr="0089662C" w:rsidRDefault="00C75363" w:rsidP="0089662C">
      <w:pPr>
        <w:spacing w:before="0" w:after="160"/>
        <w:rPr>
          <w:rFonts w:eastAsia="Calibri" w:cs="Arial"/>
          <w:color w:val="000000"/>
          <w:lang w:eastAsia="en-US"/>
        </w:rPr>
      </w:pPr>
      <w:r>
        <w:rPr>
          <w:rFonts w:eastAsia="Calibri" w:cs="Arial"/>
          <w:color w:val="000000"/>
          <w:lang w:eastAsia="en-US"/>
        </w:rPr>
        <w:t xml:space="preserve"> </w:t>
      </w:r>
      <w:r w:rsidR="0089662C" w:rsidRPr="0089662C">
        <w:rPr>
          <w:rFonts w:eastAsia="Calibri" w:cs="Arial"/>
          <w:color w:val="000000"/>
          <w:lang w:eastAsia="en-US"/>
        </w:rPr>
        <w:t xml:space="preserve">Se determinó a través de la disolución de una muestra de 10 ml de jugo de papaya en 90 ml de agua destilada (agitar bien la mezcla) y con ayuda de una pipeta se transfirió 10 ml de líquido de la mezcla para un balón y llevado el volumen hasta 100 ml, adicionando </w:t>
      </w:r>
      <w:r w:rsidR="0089662C" w:rsidRPr="0089662C">
        <w:rPr>
          <w:rFonts w:eastAsia="Calibri" w:cs="Arial"/>
          <w:color w:val="000000"/>
          <w:lang w:eastAsia="en-US"/>
        </w:rPr>
        <w:lastRenderedPageBreak/>
        <w:t>tres o cinco gotas de fenolftaleína a 1,0 %. S</w:t>
      </w:r>
      <w:r w:rsidR="0089662C" w:rsidRPr="0089662C">
        <w:rPr>
          <w:rFonts w:eastAsia="Calibri" w:cs="Arial"/>
          <w:lang w:eastAsia="en-US"/>
        </w:rPr>
        <w:t xml:space="preserve">e efectuó la titulación con disolución de </w:t>
      </w:r>
      <w:r w:rsidR="0089662C" w:rsidRPr="0089662C">
        <w:rPr>
          <w:rFonts w:eastAsia="Calibri" w:cs="Arial"/>
          <w:color w:val="000000"/>
          <w:lang w:eastAsia="en-US"/>
        </w:rPr>
        <w:t>hidróxido de sodio (</w:t>
      </w:r>
      <w:proofErr w:type="spellStart"/>
      <w:r w:rsidR="0089662C" w:rsidRPr="0089662C">
        <w:rPr>
          <w:rFonts w:eastAsia="Calibri" w:cs="Arial"/>
          <w:color w:val="000000"/>
          <w:lang w:eastAsia="en-US"/>
        </w:rPr>
        <w:t>NaOH</w:t>
      </w:r>
      <w:proofErr w:type="spellEnd"/>
      <w:r w:rsidR="0089662C" w:rsidRPr="0089662C">
        <w:rPr>
          <w:rFonts w:eastAsia="Calibri" w:cs="Arial"/>
          <w:color w:val="000000"/>
          <w:lang w:eastAsia="en-US"/>
        </w:rPr>
        <w:t xml:space="preserve"> 0,1M) hasta la aparición de la coloración rosa. Se determinó el porcentaje de acidez por la formula (</w:t>
      </w:r>
      <w:r w:rsidR="00E73C99">
        <w:rPr>
          <w:rFonts w:eastAsia="Calibri" w:cs="Arial"/>
          <w:color w:val="000000"/>
          <w:lang w:eastAsia="en-US"/>
        </w:rPr>
        <w:t>2</w:t>
      </w:r>
      <w:r w:rsidR="0089662C" w:rsidRPr="0089662C">
        <w:rPr>
          <w:rFonts w:eastAsia="Calibri" w:cs="Arial"/>
          <w:color w:val="000000"/>
          <w:lang w:eastAsia="en-US"/>
        </w:rPr>
        <w:t>).</w:t>
      </w:r>
    </w:p>
    <w:p w:rsidR="002925ED" w:rsidRPr="0089662C" w:rsidRDefault="002925ED" w:rsidP="0089662C">
      <w:pPr>
        <w:spacing w:before="0" w:after="160"/>
        <w:jc w:val="center"/>
        <w:rPr>
          <w:rFonts w:eastAsia="Calibri" w:cs="Arial"/>
          <w:lang w:eastAsia="en-US"/>
        </w:rPr>
      </w:pPr>
      <m:oMath>
        <m:r>
          <w:rPr>
            <w:rFonts w:ascii="Cambria Math" w:eastAsia="Calibri" w:hAnsi="Cambria Math" w:cs="Arial"/>
            <w:lang w:eastAsia="en-US"/>
          </w:rPr>
          <m:t>AT (%)</m:t>
        </m:r>
        <m:f>
          <m:fPr>
            <m:ctrlPr>
              <w:rPr>
                <w:rFonts w:ascii="Cambria Math" w:eastAsia="Calibri" w:hAnsi="Cambria Math" w:cs="Arial"/>
                <w:i/>
                <w:lang w:eastAsia="en-US"/>
              </w:rPr>
            </m:ctrlPr>
          </m:fPr>
          <m:num>
            <m:r>
              <w:rPr>
                <w:rFonts w:ascii="Cambria Math" w:eastAsia="Calibri" w:hAnsi="Cambria Math" w:cs="Arial"/>
                <w:lang w:eastAsia="en-US"/>
              </w:rPr>
              <m:t xml:space="preserve">volumen de NaOH </m:t>
            </m:r>
            <m:d>
              <m:dPr>
                <m:ctrlPr>
                  <w:rPr>
                    <w:rFonts w:ascii="Cambria Math" w:eastAsia="Calibri" w:hAnsi="Cambria Math" w:cs="Arial"/>
                    <w:i/>
                    <w:lang w:eastAsia="en-US"/>
                  </w:rPr>
                </m:ctrlPr>
              </m:dPr>
              <m:e>
                <m:r>
                  <w:rPr>
                    <w:rFonts w:ascii="Cambria Math" w:eastAsia="Calibri" w:hAnsi="Cambria Math" w:cs="Arial"/>
                    <w:lang w:eastAsia="en-US"/>
                  </w:rPr>
                  <m:t>ml</m:t>
                </m:r>
              </m:e>
            </m:d>
            <m:r>
              <w:rPr>
                <w:rFonts w:ascii="Cambria Math" w:eastAsia="Calibri" w:hAnsi="Cambria Math" w:cs="Arial"/>
                <w:lang w:eastAsia="en-US"/>
              </w:rPr>
              <m:t>. N de NaOH . 100. F</m:t>
            </m:r>
          </m:num>
          <m:den>
            <m:r>
              <w:rPr>
                <w:rFonts w:ascii="Cambria Math" w:eastAsia="Calibri" w:hAnsi="Cambria Math" w:cs="Arial"/>
                <w:lang w:eastAsia="en-US"/>
              </w:rPr>
              <m:t>Masa de la muestra (ml)</m:t>
            </m:r>
          </m:den>
        </m:f>
      </m:oMath>
      <w:r>
        <w:rPr>
          <w:rFonts w:eastAsia="Calibri" w:cs="Arial"/>
          <w:lang w:eastAsia="en-US"/>
        </w:rPr>
        <w:t xml:space="preserve">    </w:t>
      </w:r>
      <w:r w:rsidRPr="0089662C">
        <w:rPr>
          <w:rFonts w:eastAsia="Calibri" w:cs="Arial"/>
          <w:lang w:eastAsia="en-US"/>
        </w:rPr>
        <w:t xml:space="preserve">       </w:t>
      </w:r>
      <w:r>
        <w:rPr>
          <w:rFonts w:eastAsia="Calibri" w:cs="Arial"/>
          <w:lang w:eastAsia="en-US"/>
        </w:rPr>
        <w:t xml:space="preserve">                             [2</w:t>
      </w:r>
      <w:r w:rsidRPr="0089662C">
        <w:rPr>
          <w:rFonts w:eastAsia="Calibri" w:cs="Arial"/>
          <w:lang w:eastAsia="en-US"/>
        </w:rPr>
        <w:t>]</w:t>
      </w:r>
    </w:p>
    <w:p w:rsidR="0089662C" w:rsidRPr="0089662C" w:rsidRDefault="0089662C" w:rsidP="0089662C">
      <w:pPr>
        <w:spacing w:before="0" w:after="160"/>
        <w:rPr>
          <w:rFonts w:eastAsia="Calibri" w:cs="Arial"/>
          <w:color w:val="000000"/>
          <w:lang w:eastAsia="en-US"/>
        </w:rPr>
      </w:pPr>
      <w:r w:rsidRPr="0089662C">
        <w:rPr>
          <w:rFonts w:eastAsia="Calibri" w:cs="Arial"/>
          <w:color w:val="000000"/>
          <w:lang w:eastAsia="en-US"/>
        </w:rPr>
        <w:t>Dónde: AT:</w:t>
      </w:r>
      <w:r w:rsidRPr="0089662C">
        <w:rPr>
          <w:rFonts w:cs="Arial"/>
        </w:rPr>
        <w:t xml:space="preserve"> </w:t>
      </w:r>
      <w:r w:rsidRPr="0089662C">
        <w:rPr>
          <w:rFonts w:eastAsia="Calibri" w:cs="Arial"/>
          <w:color w:val="000000"/>
          <w:lang w:eastAsia="en-US"/>
        </w:rPr>
        <w:t xml:space="preserve">acidez </w:t>
      </w:r>
      <w:proofErr w:type="spellStart"/>
      <w:r w:rsidRPr="0089662C">
        <w:rPr>
          <w:rFonts w:eastAsia="Calibri" w:cs="Arial"/>
          <w:color w:val="000000"/>
          <w:lang w:eastAsia="en-US"/>
        </w:rPr>
        <w:t>tituláble</w:t>
      </w:r>
      <w:proofErr w:type="spellEnd"/>
      <w:r w:rsidRPr="0089662C">
        <w:rPr>
          <w:rFonts w:eastAsia="Calibri" w:cs="Arial"/>
          <w:color w:val="000000"/>
          <w:lang w:eastAsia="en-US"/>
        </w:rPr>
        <w:t xml:space="preserve"> (%); N: concentración de hidróxido de sodio (</w:t>
      </w:r>
      <w:proofErr w:type="spellStart"/>
      <w:r w:rsidRPr="0089662C">
        <w:rPr>
          <w:rFonts w:eastAsia="Calibri" w:cs="Arial"/>
          <w:color w:val="000000"/>
          <w:lang w:eastAsia="en-US"/>
        </w:rPr>
        <w:t>NaOH</w:t>
      </w:r>
      <w:proofErr w:type="spellEnd"/>
      <w:r w:rsidRPr="0089662C">
        <w:rPr>
          <w:rFonts w:eastAsia="Calibri" w:cs="Arial"/>
          <w:color w:val="000000"/>
          <w:lang w:eastAsia="en-US"/>
        </w:rPr>
        <w:t>); f: factor de acidez (%)</w:t>
      </w:r>
    </w:p>
    <w:p w:rsidR="0089662C" w:rsidRPr="0089662C" w:rsidRDefault="0089662C" w:rsidP="0089662C">
      <w:pPr>
        <w:spacing w:before="0" w:after="0"/>
        <w:rPr>
          <w:rFonts w:eastAsia="Calibri" w:cs="Arial"/>
          <w:b/>
          <w:color w:val="000000"/>
          <w:lang w:eastAsia="en-US"/>
        </w:rPr>
      </w:pPr>
      <w:r w:rsidRPr="0089662C">
        <w:rPr>
          <w:rFonts w:eastAsia="Calibri" w:cs="Arial"/>
          <w:b/>
          <w:color w:val="000000"/>
          <w:lang w:eastAsia="en-US"/>
        </w:rPr>
        <w:t>Tiempo de vida útil</w:t>
      </w:r>
    </w:p>
    <w:p w:rsidR="0089662C" w:rsidRPr="0089662C" w:rsidRDefault="0089662C" w:rsidP="0089662C">
      <w:pPr>
        <w:spacing w:before="0" w:after="0"/>
        <w:rPr>
          <w:rFonts w:eastAsia="Calibri" w:cs="Arial"/>
          <w:color w:val="000000"/>
          <w:lang w:eastAsia="en-US"/>
        </w:rPr>
      </w:pPr>
      <w:r w:rsidRPr="0089662C">
        <w:rPr>
          <w:rFonts w:eastAsia="Calibri" w:cs="Arial"/>
          <w:color w:val="000000"/>
          <w:lang w:eastAsia="en-US"/>
        </w:rPr>
        <w:t xml:space="preserve">La vida útil de la fruta fue determinada en función del número de días necesarios para que los frutos </w:t>
      </w:r>
      <w:r w:rsidRPr="0089662C">
        <w:rPr>
          <w:rFonts w:eastAsia="Calibri" w:cs="Arial"/>
          <w:lang w:eastAsia="en-US"/>
        </w:rPr>
        <w:t>tengan el estadio de maduración cinco, en condiciones de sanidad y apariencia adecuada para el consumo</w:t>
      </w:r>
      <w:r w:rsidRPr="0089662C">
        <w:rPr>
          <w:rFonts w:eastAsia="Calibri" w:cs="Arial"/>
          <w:color w:val="000000"/>
          <w:lang w:eastAsia="en-US"/>
        </w:rPr>
        <w:t>.</w:t>
      </w:r>
    </w:p>
    <w:p w:rsidR="0089662C" w:rsidRPr="0089662C" w:rsidRDefault="0089662C" w:rsidP="0089662C">
      <w:pPr>
        <w:spacing w:before="0" w:after="0"/>
        <w:rPr>
          <w:rFonts w:cs="Arial"/>
          <w:b/>
          <w:bCs/>
          <w:lang w:eastAsia="pt-PT"/>
        </w:rPr>
      </w:pPr>
      <w:r w:rsidRPr="0089662C">
        <w:rPr>
          <w:rFonts w:cs="Arial"/>
          <w:b/>
          <w:bCs/>
          <w:lang w:eastAsia="pt-PT"/>
        </w:rPr>
        <w:t>Procesamiento estadístico</w:t>
      </w:r>
    </w:p>
    <w:p w:rsidR="0089662C" w:rsidRPr="0089662C" w:rsidRDefault="0089662C" w:rsidP="0089662C">
      <w:pPr>
        <w:spacing w:before="0" w:after="160"/>
        <w:rPr>
          <w:rFonts w:cs="Arial"/>
          <w:bCs/>
          <w:lang w:eastAsia="pt-PT"/>
        </w:rPr>
      </w:pPr>
      <w:r w:rsidRPr="0089662C">
        <w:rPr>
          <w:rFonts w:cs="Arial"/>
          <w:bCs/>
          <w:lang w:eastAsia="pt-PT"/>
        </w:rPr>
        <w:t xml:space="preserve">Los datos referidos y las variables estudiadas, fueron analizados estadísticamente con el </w:t>
      </w:r>
      <w:r w:rsidRPr="0089662C">
        <w:rPr>
          <w:rFonts w:cs="Arial"/>
          <w:bCs/>
          <w:i/>
          <w:lang w:eastAsia="pt-PT"/>
        </w:rPr>
        <w:t xml:space="preserve">software </w:t>
      </w:r>
      <w:r w:rsidRPr="0089662C">
        <w:rPr>
          <w:rFonts w:cs="Arial"/>
          <w:bCs/>
          <w:lang w:eastAsia="pt-PT"/>
        </w:rPr>
        <w:t xml:space="preserve">SPSS 23.0. Se determinó la distribución normal según la prueba de </w:t>
      </w:r>
      <w:proofErr w:type="spellStart"/>
      <w:r w:rsidRPr="0089662C">
        <w:rPr>
          <w:rFonts w:cs="Arial"/>
          <w:bCs/>
          <w:i/>
          <w:lang w:eastAsia="pt-PT"/>
        </w:rPr>
        <w:t>Kolmogorov</w:t>
      </w:r>
      <w:proofErr w:type="spellEnd"/>
      <w:r w:rsidRPr="0089662C">
        <w:rPr>
          <w:rFonts w:cs="Arial"/>
          <w:bCs/>
          <w:i/>
          <w:lang w:eastAsia="pt-PT"/>
        </w:rPr>
        <w:t xml:space="preserve">- </w:t>
      </w:r>
      <w:proofErr w:type="spellStart"/>
      <w:r w:rsidRPr="0089662C">
        <w:rPr>
          <w:rFonts w:cs="Arial"/>
          <w:bCs/>
          <w:i/>
          <w:lang w:eastAsia="pt-PT"/>
        </w:rPr>
        <w:t>Smirnov</w:t>
      </w:r>
      <w:proofErr w:type="spellEnd"/>
      <w:r w:rsidRPr="0089662C">
        <w:rPr>
          <w:rFonts w:cs="Arial"/>
          <w:bCs/>
          <w:lang w:eastAsia="pt-PT"/>
        </w:rPr>
        <w:t xml:space="preserve"> y la estadística de </w:t>
      </w:r>
      <w:proofErr w:type="spellStart"/>
      <w:r w:rsidRPr="0089662C">
        <w:rPr>
          <w:rFonts w:cs="Arial"/>
          <w:bCs/>
          <w:i/>
          <w:lang w:eastAsia="pt-PT"/>
        </w:rPr>
        <w:t>Levene</w:t>
      </w:r>
      <w:proofErr w:type="spellEnd"/>
      <w:r w:rsidRPr="0089662C">
        <w:rPr>
          <w:rFonts w:cs="Arial"/>
          <w:bCs/>
          <w:lang w:eastAsia="pt-PT"/>
        </w:rPr>
        <w:t xml:space="preserve"> para comprobar la homogeneidad de varianza. Se aplicó la prueba de intervalos múltiples de </w:t>
      </w:r>
      <w:proofErr w:type="spellStart"/>
      <w:r w:rsidRPr="0089662C">
        <w:rPr>
          <w:rFonts w:cs="Arial"/>
          <w:bCs/>
          <w:lang w:eastAsia="pt-PT"/>
        </w:rPr>
        <w:t>Tuckey</w:t>
      </w:r>
      <w:proofErr w:type="spellEnd"/>
      <w:r w:rsidRPr="0089662C">
        <w:rPr>
          <w:rFonts w:cs="Arial"/>
          <w:bCs/>
          <w:lang w:eastAsia="pt-PT"/>
        </w:rPr>
        <w:t xml:space="preserve"> para un nivel de significación de p ≤ 0,05.</w:t>
      </w:r>
    </w:p>
    <w:p w:rsidR="0089662C" w:rsidRPr="0089662C" w:rsidRDefault="0089662C" w:rsidP="0089662C">
      <w:pPr>
        <w:spacing w:before="0" w:after="0"/>
        <w:rPr>
          <w:rFonts w:eastAsia="Calibri" w:cs="Arial"/>
          <w:b/>
          <w:lang w:eastAsia="en-US"/>
        </w:rPr>
      </w:pPr>
      <w:r w:rsidRPr="0089662C">
        <w:rPr>
          <w:rFonts w:eastAsia="Calibri" w:cs="Arial"/>
          <w:b/>
          <w:lang w:eastAsia="en-US"/>
        </w:rPr>
        <w:t>RESULTADOS Y DISCUSIÓN</w:t>
      </w:r>
    </w:p>
    <w:p w:rsidR="0089662C" w:rsidRPr="0089662C" w:rsidRDefault="0089662C" w:rsidP="0089662C">
      <w:pPr>
        <w:spacing w:before="0" w:after="0"/>
        <w:rPr>
          <w:rFonts w:cs="Arial"/>
          <w:bCs/>
          <w:lang w:eastAsia="pt-PT"/>
        </w:rPr>
      </w:pPr>
      <w:r w:rsidRPr="0089662C">
        <w:rPr>
          <w:rFonts w:cs="Arial"/>
          <w:b/>
          <w:bCs/>
          <w:lang w:eastAsia="pt-PT"/>
        </w:rPr>
        <w:t>Pérdida de masa fresca (PMF)</w:t>
      </w:r>
      <w:r w:rsidRPr="0089662C">
        <w:rPr>
          <w:rFonts w:cs="Arial"/>
          <w:bCs/>
          <w:lang w:eastAsia="pt-PT"/>
        </w:rPr>
        <w:t xml:space="preserve"> </w:t>
      </w:r>
    </w:p>
    <w:p w:rsidR="0089662C" w:rsidRDefault="0089662C" w:rsidP="0089662C">
      <w:pPr>
        <w:spacing w:before="0" w:after="0"/>
        <w:rPr>
          <w:rFonts w:eastAsia="Calibri" w:cs="Arial"/>
          <w:lang w:eastAsia="en-US"/>
        </w:rPr>
      </w:pPr>
      <w:r w:rsidRPr="0089662C">
        <w:rPr>
          <w:rFonts w:cs="Arial"/>
          <w:bCs/>
          <w:lang w:eastAsia="pt-PT"/>
        </w:rPr>
        <w:t>La PMF aumentó gradualmente en todos los tratamientos post-cosecha en el trascurso del periodo de almacenamiento, siendo este aumento menos pronunciado en los frutos almacenados con cobertura (tabla 1). Todos los frutos con cobertura presentaron PMF significativamente menor en relación a los sin cobertura, durante 16 días de almacenamiento. Los tratamientos donde se utilizó la cobertura de almidón de yuca difieren significativamente del control, en todas las observaciones</w:t>
      </w:r>
      <w:r w:rsidRPr="0089662C">
        <w:rPr>
          <w:rFonts w:eastAsia="Calibri" w:cs="Arial"/>
          <w:lang w:eastAsia="en-US"/>
        </w:rPr>
        <w:t xml:space="preserve">. Se destacó con menor porcentaje de pérdida los tratamientos C y D, no existiendo diferencias estadísticas entre sí, durante los primeros ocho días de almacenamiento, a partir de 12 días el tratamiento D (3 % almidón) manifestó los mejores resultados con diferencias significativas con el resto de los tratamientos. </w:t>
      </w:r>
    </w:p>
    <w:p w:rsidR="00001A65" w:rsidRPr="00001A65" w:rsidRDefault="00001A65" w:rsidP="0089662C">
      <w:pPr>
        <w:spacing w:before="0" w:after="0"/>
        <w:rPr>
          <w:rFonts w:eastAsia="Calibri" w:cs="Arial"/>
          <w:sz w:val="6"/>
          <w:lang w:eastAsia="en-US"/>
        </w:rPr>
      </w:pP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375"/>
        <w:gridCol w:w="1668"/>
        <w:gridCol w:w="1700"/>
        <w:gridCol w:w="1445"/>
        <w:gridCol w:w="1845"/>
      </w:tblGrid>
      <w:tr w:rsidR="0089662C" w:rsidRPr="002925ED" w:rsidTr="002925ED">
        <w:trPr>
          <w:jc w:val="center"/>
        </w:trPr>
        <w:tc>
          <w:tcPr>
            <w:tcW w:w="5000" w:type="pct"/>
            <w:gridSpan w:val="6"/>
            <w:tcBorders>
              <w:top w:val="nil"/>
              <w:left w:val="nil"/>
              <w:bottom w:val="single" w:sz="4" w:space="0" w:color="auto"/>
              <w:right w:val="nil"/>
            </w:tcBorders>
            <w:shd w:val="clear" w:color="auto" w:fill="auto"/>
          </w:tcPr>
          <w:p w:rsidR="0089662C" w:rsidRPr="002925ED" w:rsidRDefault="0089662C" w:rsidP="002925ED">
            <w:pPr>
              <w:spacing w:before="0" w:after="0" w:line="240" w:lineRule="auto"/>
              <w:rPr>
                <w:rFonts w:eastAsia="Calibri" w:cs="Arial"/>
                <w:sz w:val="22"/>
                <w:lang w:eastAsia="en-US"/>
              </w:rPr>
            </w:pPr>
            <w:r w:rsidRPr="002925ED">
              <w:rPr>
                <w:rFonts w:eastAsia="Calibri" w:cs="Arial"/>
                <w:sz w:val="22"/>
                <w:lang w:eastAsia="en-US"/>
              </w:rPr>
              <w:lastRenderedPageBreak/>
              <w:t>Tabla 1: Pérdida porcentual de masa de papaya con y sin cobertura durante el período de almacenamiento</w:t>
            </w:r>
          </w:p>
        </w:tc>
      </w:tr>
      <w:tr w:rsidR="0089662C" w:rsidRPr="002925ED" w:rsidTr="0092109E">
        <w:trPr>
          <w:trHeight w:val="203"/>
          <w:jc w:val="center"/>
        </w:trPr>
        <w:tc>
          <w:tcPr>
            <w:tcW w:w="893" w:type="pct"/>
            <w:vMerge w:val="restart"/>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Tratamientos</w:t>
            </w:r>
          </w:p>
        </w:tc>
        <w:tc>
          <w:tcPr>
            <w:tcW w:w="703" w:type="pct"/>
            <w:vMerge w:val="restar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Peso inicial (g) medio</w:t>
            </w:r>
          </w:p>
        </w:tc>
        <w:tc>
          <w:tcPr>
            <w:tcW w:w="3404" w:type="pct"/>
            <w:gridSpan w:val="4"/>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Días en que se tomaron la muestra</w:t>
            </w:r>
          </w:p>
        </w:tc>
      </w:tr>
      <w:tr w:rsidR="0089662C" w:rsidRPr="002925ED" w:rsidTr="0092109E">
        <w:trPr>
          <w:trHeight w:val="202"/>
          <w:jc w:val="center"/>
        </w:trPr>
        <w:tc>
          <w:tcPr>
            <w:tcW w:w="893" w:type="pct"/>
            <w:vMerge/>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p>
        </w:tc>
        <w:tc>
          <w:tcPr>
            <w:tcW w:w="703" w:type="pct"/>
            <w:vMerge/>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p>
        </w:tc>
        <w:tc>
          <w:tcPr>
            <w:tcW w:w="85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4 días</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(PMF %)</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Medía ± S</w:t>
            </w:r>
          </w:p>
        </w:tc>
        <w:tc>
          <w:tcPr>
            <w:tcW w:w="86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8 días</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(PMF %)</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Medía ± S</w:t>
            </w:r>
          </w:p>
        </w:tc>
        <w:tc>
          <w:tcPr>
            <w:tcW w:w="73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12 días</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(PMF %)</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Medía ± S</w:t>
            </w:r>
          </w:p>
        </w:tc>
        <w:tc>
          <w:tcPr>
            <w:tcW w:w="944" w:type="pct"/>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16 días</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(PMF %)</w:t>
            </w:r>
          </w:p>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Medía ± S</w:t>
            </w:r>
          </w:p>
        </w:tc>
      </w:tr>
      <w:tr w:rsidR="0089662C" w:rsidRPr="002925ED" w:rsidTr="0092109E">
        <w:trPr>
          <w:jc w:val="center"/>
        </w:trPr>
        <w:tc>
          <w:tcPr>
            <w:tcW w:w="893" w:type="pct"/>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A</w:t>
            </w:r>
          </w:p>
        </w:tc>
        <w:tc>
          <w:tcPr>
            <w:tcW w:w="70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875</w:t>
            </w:r>
          </w:p>
        </w:tc>
        <w:tc>
          <w:tcPr>
            <w:tcW w:w="85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3,11 ± 0,3 c</w:t>
            </w:r>
          </w:p>
        </w:tc>
        <w:tc>
          <w:tcPr>
            <w:tcW w:w="86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 xml:space="preserve">4,53 ± 0,3 c </w:t>
            </w:r>
          </w:p>
        </w:tc>
        <w:tc>
          <w:tcPr>
            <w:tcW w:w="73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6,19 ± 0,2 d</w:t>
            </w:r>
          </w:p>
        </w:tc>
        <w:tc>
          <w:tcPr>
            <w:tcW w:w="944" w:type="pct"/>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9,29 ± 0,3 d</w:t>
            </w:r>
          </w:p>
        </w:tc>
      </w:tr>
      <w:tr w:rsidR="0089662C" w:rsidRPr="002925ED" w:rsidTr="0092109E">
        <w:trPr>
          <w:jc w:val="center"/>
        </w:trPr>
        <w:tc>
          <w:tcPr>
            <w:tcW w:w="893" w:type="pct"/>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B</w:t>
            </w:r>
          </w:p>
        </w:tc>
        <w:tc>
          <w:tcPr>
            <w:tcW w:w="70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905</w:t>
            </w:r>
          </w:p>
        </w:tc>
        <w:tc>
          <w:tcPr>
            <w:tcW w:w="85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2,59 ± 0,2 b</w:t>
            </w:r>
          </w:p>
        </w:tc>
        <w:tc>
          <w:tcPr>
            <w:tcW w:w="86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3,60 ± 0,2 b</w:t>
            </w:r>
          </w:p>
        </w:tc>
        <w:tc>
          <w:tcPr>
            <w:tcW w:w="73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4,40 ± 0,3 c</w:t>
            </w:r>
          </w:p>
        </w:tc>
        <w:tc>
          <w:tcPr>
            <w:tcW w:w="944" w:type="pct"/>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4,90 v 0,2 c</w:t>
            </w:r>
          </w:p>
        </w:tc>
      </w:tr>
      <w:tr w:rsidR="0089662C" w:rsidRPr="002925ED" w:rsidTr="0092109E">
        <w:trPr>
          <w:jc w:val="center"/>
        </w:trPr>
        <w:tc>
          <w:tcPr>
            <w:tcW w:w="893" w:type="pct"/>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C</w:t>
            </w:r>
          </w:p>
        </w:tc>
        <w:tc>
          <w:tcPr>
            <w:tcW w:w="70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925</w:t>
            </w:r>
          </w:p>
        </w:tc>
        <w:tc>
          <w:tcPr>
            <w:tcW w:w="85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2,10 ± 0,1 a</w:t>
            </w:r>
          </w:p>
        </w:tc>
        <w:tc>
          <w:tcPr>
            <w:tcW w:w="86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 xml:space="preserve">2,92 ± 0,2 a </w:t>
            </w:r>
          </w:p>
        </w:tc>
        <w:tc>
          <w:tcPr>
            <w:tcW w:w="73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3,50 ± 0,3 b</w:t>
            </w:r>
          </w:p>
        </w:tc>
        <w:tc>
          <w:tcPr>
            <w:tcW w:w="944" w:type="pct"/>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3,83 ± 0,2 b</w:t>
            </w:r>
          </w:p>
        </w:tc>
      </w:tr>
      <w:tr w:rsidR="0089662C" w:rsidRPr="002925ED" w:rsidTr="0092109E">
        <w:trPr>
          <w:jc w:val="center"/>
        </w:trPr>
        <w:tc>
          <w:tcPr>
            <w:tcW w:w="893" w:type="pct"/>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D</w:t>
            </w:r>
          </w:p>
        </w:tc>
        <w:tc>
          <w:tcPr>
            <w:tcW w:w="70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928</w:t>
            </w:r>
          </w:p>
        </w:tc>
        <w:tc>
          <w:tcPr>
            <w:tcW w:w="85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2,03 ± 0,2 a</w:t>
            </w:r>
          </w:p>
        </w:tc>
        <w:tc>
          <w:tcPr>
            <w:tcW w:w="86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2,70 ± 0,2 a</w:t>
            </w:r>
          </w:p>
        </w:tc>
        <w:tc>
          <w:tcPr>
            <w:tcW w:w="73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3,10 ± 0,2 a</w:t>
            </w:r>
          </w:p>
        </w:tc>
        <w:tc>
          <w:tcPr>
            <w:tcW w:w="944" w:type="pct"/>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3,50 ± 0,2 a</w:t>
            </w:r>
          </w:p>
        </w:tc>
      </w:tr>
      <w:tr w:rsidR="0089662C" w:rsidRPr="002925ED" w:rsidTr="0092109E">
        <w:trPr>
          <w:jc w:val="center"/>
        </w:trPr>
        <w:tc>
          <w:tcPr>
            <w:tcW w:w="893" w:type="pct"/>
            <w:tcBorders>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proofErr w:type="spellStart"/>
            <w:r w:rsidRPr="002925ED">
              <w:rPr>
                <w:rFonts w:eastAsia="Calibri" w:cs="Arial"/>
                <w:sz w:val="22"/>
                <w:lang w:eastAsia="en-US"/>
              </w:rPr>
              <w:t>Esx</w:t>
            </w:r>
            <w:proofErr w:type="spellEnd"/>
          </w:p>
        </w:tc>
        <w:tc>
          <w:tcPr>
            <w:tcW w:w="70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w:t>
            </w:r>
          </w:p>
        </w:tc>
        <w:tc>
          <w:tcPr>
            <w:tcW w:w="853"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0,072</w:t>
            </w:r>
          </w:p>
        </w:tc>
        <w:tc>
          <w:tcPr>
            <w:tcW w:w="86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0,109</w:t>
            </w:r>
          </w:p>
        </w:tc>
        <w:tc>
          <w:tcPr>
            <w:tcW w:w="739" w:type="pct"/>
            <w:tcBorders>
              <w:left w:val="nil"/>
              <w:righ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0,179</w:t>
            </w:r>
          </w:p>
        </w:tc>
        <w:tc>
          <w:tcPr>
            <w:tcW w:w="944" w:type="pct"/>
            <w:tcBorders>
              <w:left w:val="nil"/>
            </w:tcBorders>
            <w:shd w:val="clear" w:color="auto" w:fill="auto"/>
            <w:vAlign w:val="center"/>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0,340</w:t>
            </w:r>
          </w:p>
        </w:tc>
      </w:tr>
      <w:tr w:rsidR="0089662C" w:rsidRPr="002925ED" w:rsidTr="0092109E">
        <w:trPr>
          <w:jc w:val="center"/>
        </w:trPr>
        <w:tc>
          <w:tcPr>
            <w:tcW w:w="893" w:type="pct"/>
            <w:tcBorders>
              <w:bottom w:val="single" w:sz="4" w:space="0" w:color="auto"/>
              <w:right w:val="nil"/>
            </w:tcBorders>
            <w:shd w:val="clear" w:color="auto" w:fill="auto"/>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CV (%)</w:t>
            </w:r>
          </w:p>
        </w:tc>
        <w:tc>
          <w:tcPr>
            <w:tcW w:w="703" w:type="pct"/>
            <w:tcBorders>
              <w:left w:val="nil"/>
              <w:bottom w:val="single" w:sz="4" w:space="0" w:color="auto"/>
              <w:right w:val="nil"/>
            </w:tcBorders>
            <w:shd w:val="clear" w:color="auto" w:fill="auto"/>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w:t>
            </w:r>
          </w:p>
        </w:tc>
        <w:tc>
          <w:tcPr>
            <w:tcW w:w="853" w:type="pct"/>
            <w:tcBorders>
              <w:left w:val="nil"/>
              <w:bottom w:val="single" w:sz="4" w:space="0" w:color="auto"/>
              <w:right w:val="nil"/>
            </w:tcBorders>
            <w:shd w:val="clear" w:color="auto" w:fill="auto"/>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14,3</w:t>
            </w:r>
          </w:p>
        </w:tc>
        <w:tc>
          <w:tcPr>
            <w:tcW w:w="869" w:type="pct"/>
            <w:tcBorders>
              <w:left w:val="nil"/>
              <w:bottom w:val="single" w:sz="4" w:space="0" w:color="auto"/>
              <w:right w:val="nil"/>
            </w:tcBorders>
            <w:shd w:val="clear" w:color="auto" w:fill="auto"/>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13,8</w:t>
            </w:r>
          </w:p>
        </w:tc>
        <w:tc>
          <w:tcPr>
            <w:tcW w:w="739" w:type="pct"/>
            <w:tcBorders>
              <w:left w:val="nil"/>
              <w:bottom w:val="single" w:sz="4" w:space="0" w:color="auto"/>
              <w:right w:val="nil"/>
            </w:tcBorders>
            <w:shd w:val="clear" w:color="auto" w:fill="auto"/>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16,2</w:t>
            </w:r>
          </w:p>
        </w:tc>
        <w:tc>
          <w:tcPr>
            <w:tcW w:w="944" w:type="pct"/>
            <w:tcBorders>
              <w:left w:val="nil"/>
              <w:bottom w:val="single" w:sz="4" w:space="0" w:color="auto"/>
            </w:tcBorders>
            <w:shd w:val="clear" w:color="auto" w:fill="auto"/>
          </w:tcPr>
          <w:p w:rsidR="0089662C" w:rsidRPr="002925ED" w:rsidRDefault="0089662C" w:rsidP="002925ED">
            <w:pPr>
              <w:spacing w:before="0" w:after="0" w:line="240" w:lineRule="auto"/>
              <w:jc w:val="center"/>
              <w:rPr>
                <w:rFonts w:eastAsia="Calibri" w:cs="Arial"/>
                <w:sz w:val="22"/>
                <w:lang w:eastAsia="en-US"/>
              </w:rPr>
            </w:pPr>
            <w:r w:rsidRPr="002925ED">
              <w:rPr>
                <w:rFonts w:eastAsia="Calibri" w:cs="Arial"/>
                <w:sz w:val="22"/>
                <w:lang w:eastAsia="en-US"/>
              </w:rPr>
              <w:t>16,5</w:t>
            </w:r>
          </w:p>
        </w:tc>
      </w:tr>
      <w:tr w:rsidR="0089662C" w:rsidRPr="002925ED" w:rsidTr="002925ED">
        <w:trPr>
          <w:jc w:val="center"/>
        </w:trPr>
        <w:tc>
          <w:tcPr>
            <w:tcW w:w="5000" w:type="pct"/>
            <w:gridSpan w:val="6"/>
            <w:tcBorders>
              <w:left w:val="nil"/>
              <w:bottom w:val="nil"/>
              <w:right w:val="nil"/>
            </w:tcBorders>
            <w:shd w:val="clear" w:color="auto" w:fill="auto"/>
          </w:tcPr>
          <w:p w:rsidR="0089662C" w:rsidRPr="002925ED" w:rsidRDefault="0089662C" w:rsidP="002925ED">
            <w:pPr>
              <w:spacing w:before="0" w:after="0" w:line="240" w:lineRule="auto"/>
              <w:rPr>
                <w:rFonts w:eastAsia="Calibri" w:cs="Arial"/>
                <w:i/>
                <w:sz w:val="22"/>
                <w:lang w:eastAsia="en-US"/>
              </w:rPr>
            </w:pPr>
            <w:r w:rsidRPr="002925ED">
              <w:rPr>
                <w:rFonts w:eastAsia="Calibri" w:cs="Arial"/>
                <w:i/>
                <w:sz w:val="22"/>
                <w:lang w:eastAsia="en-US"/>
              </w:rPr>
              <w:t xml:space="preserve">Letras no comunes difieren según la prueba de rangos múltiples de </w:t>
            </w:r>
            <w:proofErr w:type="spellStart"/>
            <w:r w:rsidRPr="002925ED">
              <w:rPr>
                <w:rFonts w:eastAsia="Calibri" w:cs="Arial"/>
                <w:i/>
                <w:sz w:val="22"/>
                <w:lang w:eastAsia="en-US"/>
              </w:rPr>
              <w:t>Tukey</w:t>
            </w:r>
            <w:proofErr w:type="spellEnd"/>
            <w:r w:rsidRPr="002925ED">
              <w:rPr>
                <w:rFonts w:eastAsia="Calibri" w:cs="Arial"/>
                <w:i/>
                <w:sz w:val="22"/>
                <w:lang w:eastAsia="en-US"/>
              </w:rPr>
              <w:t xml:space="preserve"> (p ≤ 0,05.</w:t>
            </w:r>
          </w:p>
        </w:tc>
      </w:tr>
    </w:tbl>
    <w:p w:rsidR="002925ED" w:rsidRPr="00001A65" w:rsidRDefault="002925ED" w:rsidP="0089662C">
      <w:pPr>
        <w:spacing w:before="0" w:after="0"/>
        <w:rPr>
          <w:rFonts w:eastAsia="Calibri" w:cs="Arial"/>
          <w:sz w:val="16"/>
          <w:lang w:eastAsia="en-US"/>
        </w:rPr>
      </w:pPr>
    </w:p>
    <w:p w:rsidR="0089662C" w:rsidRPr="0089662C" w:rsidRDefault="0089662C" w:rsidP="0089662C">
      <w:pPr>
        <w:spacing w:before="0" w:after="0"/>
        <w:rPr>
          <w:rFonts w:eastAsia="Calibri" w:cs="Arial"/>
          <w:lang w:eastAsia="en-US"/>
        </w:rPr>
      </w:pPr>
      <w:r w:rsidRPr="0089662C">
        <w:rPr>
          <w:rFonts w:eastAsia="Calibri" w:cs="Arial"/>
          <w:lang w:eastAsia="en-US"/>
        </w:rPr>
        <w:t xml:space="preserve">La tendencia observada es un incremento en la pérdida de peso, siendo mayor en las muestras sin cobertura. </w:t>
      </w:r>
      <w:r w:rsidR="002925ED">
        <w:rPr>
          <w:rFonts w:eastAsia="Calibri" w:cs="Arial"/>
          <w:lang w:eastAsia="en-US"/>
        </w:rPr>
        <w:t>A</w:t>
      </w:r>
      <w:r w:rsidRPr="0089662C">
        <w:rPr>
          <w:rFonts w:eastAsia="Calibri" w:cs="Arial"/>
          <w:lang w:eastAsia="en-US"/>
        </w:rPr>
        <w:t xml:space="preserve"> los ocho días de almacenamiento del fruto</w:t>
      </w:r>
      <w:r w:rsidR="002925ED">
        <w:rPr>
          <w:rFonts w:eastAsia="Calibri" w:cs="Arial"/>
          <w:lang w:eastAsia="en-US"/>
        </w:rPr>
        <w:t>,</w:t>
      </w:r>
      <w:r w:rsidRPr="0089662C">
        <w:rPr>
          <w:rFonts w:eastAsia="Calibri" w:cs="Arial"/>
          <w:lang w:eastAsia="en-US"/>
        </w:rPr>
        <w:t xml:space="preserve"> existió una pérdida de peso (PMF) de 1,2 a 1,6 veces menos en los tratamientos revestidos que en el control, esta tendencia se mantiene hasta los 16 días que alcanzo una diferencia de 1,9 a 2,6 veces menos pérdida de peso.</w:t>
      </w:r>
      <w:r w:rsidR="0092109E">
        <w:rPr>
          <w:rFonts w:eastAsia="Calibri" w:cs="Arial"/>
          <w:lang w:eastAsia="en-US"/>
        </w:rPr>
        <w:t xml:space="preserve"> </w:t>
      </w:r>
      <w:r w:rsidRPr="0089662C">
        <w:rPr>
          <w:rFonts w:eastAsia="Calibri" w:cs="Arial"/>
          <w:lang w:eastAsia="en-US"/>
        </w:rPr>
        <w:t xml:space="preserve">Fernández </w:t>
      </w:r>
      <w:r w:rsidRPr="0089662C">
        <w:rPr>
          <w:rFonts w:eastAsia="Calibri" w:cs="Arial"/>
          <w:i/>
          <w:lang w:eastAsia="en-US"/>
        </w:rPr>
        <w:t>et al</w:t>
      </w:r>
      <w:r w:rsidRPr="0089662C">
        <w:rPr>
          <w:rFonts w:eastAsia="Calibri" w:cs="Arial"/>
          <w:lang w:eastAsia="en-US"/>
        </w:rPr>
        <w:t>., (2017) señalo que en muestras de papaya con cobertura de almidón al 3 % se obtienen mejores propiedades de retención de vapor de agua y la pérdida de peso está directamente relacionada con la taza de transpiración de los productos frescos. La papaya se comercializa por unidades de peso, y la pérdida del mismo resulta un menor rendimiento. Perdidas de peso por encima de 5 % es suficiente para el deterioro de la papaya y con frecuencia está perdida es negligencia de la cadena de comercialización.</w:t>
      </w:r>
    </w:p>
    <w:p w:rsidR="0089662C" w:rsidRPr="0089662C" w:rsidRDefault="0089662C" w:rsidP="0089662C">
      <w:pPr>
        <w:spacing w:before="0" w:after="160"/>
        <w:rPr>
          <w:rFonts w:eastAsia="Calibri" w:cs="Arial"/>
          <w:lang w:eastAsia="en-US"/>
        </w:rPr>
      </w:pPr>
      <w:r w:rsidRPr="0089662C">
        <w:rPr>
          <w:rFonts w:eastAsia="Calibri" w:cs="Arial"/>
          <w:lang w:eastAsia="en-US"/>
        </w:rPr>
        <w:t>Los frutos del tratamiento A (control) serían considerados impropios al consumo a partir de doce días de almacenamiento, en cuanto a los frutos revestidos con almidón de yuca a los 16 días de almacenamiento, el porcentaje de perdida fue inferior a 6 % considerados frutos propios al consumo a los 16 días de almacenamiento.</w:t>
      </w:r>
    </w:p>
    <w:p w:rsidR="0092109E" w:rsidRPr="0089662C" w:rsidRDefault="0092109E" w:rsidP="0092109E">
      <w:pPr>
        <w:spacing w:before="0" w:after="0"/>
        <w:rPr>
          <w:rFonts w:eastAsia="Calibri" w:cs="Arial"/>
          <w:lang w:eastAsia="en-US"/>
        </w:rPr>
      </w:pPr>
      <w:r w:rsidRPr="0089662C">
        <w:rPr>
          <w:rFonts w:eastAsia="Calibri" w:cs="Arial"/>
          <w:lang w:eastAsia="en-US"/>
        </w:rPr>
        <w:t xml:space="preserve">Al hacer un análisis de regresión entre las variables dependiente (PMF) y la independiente (tiempo de almacenamiento). Se encontró que el modelo que más se ajustó fue lineal con tendencia positiva (coeficiente de determinación, superior a 0,96 y un p≤ 0,05 para los cuatro tratamientos). Con esta función de regresión </w:t>
      </w:r>
      <w:r>
        <w:rPr>
          <w:rFonts w:eastAsia="Calibri" w:cs="Arial"/>
          <w:lang w:eastAsia="en-US"/>
        </w:rPr>
        <w:t xml:space="preserve">(tabla 2) </w:t>
      </w:r>
      <w:r w:rsidRPr="0089662C">
        <w:rPr>
          <w:rFonts w:eastAsia="Calibri" w:cs="Arial"/>
          <w:lang w:eastAsia="en-US"/>
        </w:rPr>
        <w:t>se puede estimar las PMF en función del porcentaje de cobertura. Se destacó el tratamiento D (</w:t>
      </w:r>
      <w:r w:rsidRPr="0089662C">
        <w:rPr>
          <w:rFonts w:eastAsia="Calibri" w:cs="Arial"/>
          <w:i/>
          <w:lang w:eastAsia="en-US"/>
        </w:rPr>
        <w:t>PMF=1,63+0,48x</w:t>
      </w:r>
      <w:r w:rsidRPr="0089662C">
        <w:rPr>
          <w:rFonts w:eastAsia="Calibri" w:cs="Arial"/>
          <w:lang w:eastAsia="en-US"/>
        </w:rPr>
        <w:t>) que las pérdidas son de 0,48 % por cada día de almacenamiento, mientras que en el control (</w:t>
      </w:r>
      <w:r w:rsidRPr="0089662C">
        <w:rPr>
          <w:rFonts w:eastAsia="Calibri" w:cs="Arial"/>
          <w:i/>
          <w:lang w:eastAsia="en-US"/>
        </w:rPr>
        <w:t>PMF=0,73+2,02x</w:t>
      </w:r>
      <w:r w:rsidRPr="0089662C">
        <w:rPr>
          <w:rFonts w:eastAsia="Calibri" w:cs="Arial"/>
          <w:lang w:eastAsia="en-US"/>
        </w:rPr>
        <w:t xml:space="preserve">) estas pérdidas son de 2,02 %. El </w:t>
      </w:r>
      <w:r w:rsidRPr="0089662C">
        <w:rPr>
          <w:rFonts w:eastAsia="Calibri" w:cs="Arial"/>
          <w:lang w:eastAsia="en-US"/>
        </w:rPr>
        <w:lastRenderedPageBreak/>
        <w:t>tratamiento B (</w:t>
      </w:r>
      <w:r w:rsidRPr="0089662C">
        <w:rPr>
          <w:rFonts w:eastAsia="Calibri" w:cs="Arial"/>
          <w:i/>
          <w:lang w:eastAsia="en-US"/>
        </w:rPr>
        <w:t>PMF=1,94+0,77x</w:t>
      </w:r>
      <w:r w:rsidRPr="0089662C">
        <w:rPr>
          <w:rFonts w:eastAsia="Calibri" w:cs="Arial"/>
          <w:lang w:eastAsia="en-US"/>
        </w:rPr>
        <w:t>) con 0, 77 % de perdida y el tratamiento C (</w:t>
      </w:r>
      <w:r w:rsidRPr="0089662C">
        <w:rPr>
          <w:rFonts w:eastAsia="Calibri" w:cs="Arial"/>
          <w:i/>
          <w:lang w:eastAsia="en-US"/>
        </w:rPr>
        <w:t>PMF=1,645+0,57x</w:t>
      </w:r>
      <w:r w:rsidRPr="0089662C">
        <w:rPr>
          <w:rFonts w:eastAsia="Calibri" w:cs="Arial"/>
          <w:lang w:eastAsia="en-US"/>
        </w:rPr>
        <w:t xml:space="preserve">) con solo 0,57 % de pérdidas. </w:t>
      </w:r>
    </w:p>
    <w:p w:rsidR="0092109E" w:rsidRDefault="0092109E" w:rsidP="0092109E">
      <w:pPr>
        <w:spacing w:before="0" w:after="160"/>
        <w:rPr>
          <w:rFonts w:eastAsia="Calibri" w:cs="Arial"/>
          <w:lang w:eastAsia="en-US"/>
        </w:rPr>
      </w:pPr>
      <w:r w:rsidRPr="0089662C">
        <w:rPr>
          <w:rFonts w:eastAsia="Calibri" w:cs="Arial"/>
          <w:lang w:eastAsia="en-US"/>
        </w:rPr>
        <w:t>La tendencia observada es un incrementó en las PMF durante el almacenamiento, siendo mayor en el tratamiento control. Se observa que a los ocho días de almacenamiento el fruto tiene PMF de 1,2 a 1,6 veces menor en los tratamientos con cobertura respecto al control, esta tendencia se mantiene hasta los 16 días que alcanzó una diferencia de 1,9 a 2,6 veces menos pérdidas.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3517"/>
        <w:gridCol w:w="3312"/>
      </w:tblGrid>
      <w:tr w:rsidR="0089662C" w:rsidRPr="0092109E" w:rsidTr="00860A99">
        <w:tc>
          <w:tcPr>
            <w:tcW w:w="0" w:type="auto"/>
            <w:gridSpan w:val="3"/>
            <w:tcBorders>
              <w:top w:val="nil"/>
              <w:left w:val="nil"/>
              <w:bottom w:val="single" w:sz="4" w:space="0" w:color="auto"/>
              <w:right w:val="nil"/>
            </w:tcBorders>
            <w:shd w:val="clear" w:color="auto" w:fill="auto"/>
            <w:vAlign w:val="center"/>
          </w:tcPr>
          <w:p w:rsidR="0089662C" w:rsidRPr="0092109E" w:rsidRDefault="0089662C" w:rsidP="0092109E">
            <w:pPr>
              <w:spacing w:before="0" w:after="0" w:line="240" w:lineRule="auto"/>
              <w:rPr>
                <w:rFonts w:eastAsia="Calibri" w:cs="Arial"/>
                <w:sz w:val="22"/>
                <w:lang w:eastAsia="en-US"/>
              </w:rPr>
            </w:pPr>
            <w:r w:rsidRPr="0092109E">
              <w:rPr>
                <w:rFonts w:eastAsia="Calibri" w:cs="Arial"/>
                <w:sz w:val="22"/>
                <w:lang w:eastAsia="en-US"/>
              </w:rPr>
              <w:t>Tabla 2: Modelo ajustado de la pérdida porcentual de masa de la papaya con y sin revestimiento durante el período de almacenamiento.</w:t>
            </w:r>
          </w:p>
        </w:tc>
      </w:tr>
      <w:tr w:rsidR="0089662C" w:rsidRPr="0092109E" w:rsidTr="00860A99">
        <w:tc>
          <w:tcPr>
            <w:tcW w:w="0" w:type="auto"/>
            <w:tcBorders>
              <w:righ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Tratamientos</w:t>
            </w:r>
          </w:p>
        </w:tc>
        <w:tc>
          <w:tcPr>
            <w:tcW w:w="0" w:type="auto"/>
            <w:tcBorders>
              <w:left w:val="nil"/>
              <w:righ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Modelo ajustado</w:t>
            </w:r>
          </w:p>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 xml:space="preserve">(y = a + </w:t>
            </w:r>
            <w:proofErr w:type="spellStart"/>
            <w:r w:rsidRPr="0092109E">
              <w:rPr>
                <w:rFonts w:eastAsia="Calibri" w:cs="Arial"/>
                <w:sz w:val="22"/>
                <w:lang w:eastAsia="en-US"/>
              </w:rPr>
              <w:t>bx</w:t>
            </w:r>
            <w:proofErr w:type="spellEnd"/>
            <w:r w:rsidRPr="0092109E">
              <w:rPr>
                <w:rFonts w:eastAsia="Calibri" w:cs="Arial"/>
                <w:sz w:val="22"/>
                <w:lang w:eastAsia="en-US"/>
              </w:rPr>
              <w:t>)</w:t>
            </w:r>
          </w:p>
        </w:tc>
        <w:tc>
          <w:tcPr>
            <w:tcW w:w="0" w:type="auto"/>
            <w:tcBorders>
              <w:lef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Coeficiente de</w:t>
            </w:r>
          </w:p>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determinación (R</w:t>
            </w:r>
            <w:r w:rsidRPr="0092109E">
              <w:rPr>
                <w:rFonts w:eastAsia="Calibri" w:cs="Arial"/>
                <w:sz w:val="22"/>
                <w:vertAlign w:val="superscript"/>
                <w:lang w:eastAsia="en-US"/>
              </w:rPr>
              <w:t>2</w:t>
            </w:r>
            <w:r w:rsidRPr="0092109E">
              <w:rPr>
                <w:rFonts w:eastAsia="Calibri" w:cs="Arial"/>
                <w:sz w:val="22"/>
                <w:lang w:eastAsia="en-US"/>
              </w:rPr>
              <w:t>)</w:t>
            </w:r>
          </w:p>
        </w:tc>
      </w:tr>
      <w:tr w:rsidR="0089662C" w:rsidRPr="0092109E" w:rsidTr="00860A99">
        <w:tc>
          <w:tcPr>
            <w:tcW w:w="0" w:type="auto"/>
            <w:tcBorders>
              <w:righ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A</w:t>
            </w:r>
          </w:p>
        </w:tc>
        <w:tc>
          <w:tcPr>
            <w:tcW w:w="0" w:type="auto"/>
            <w:tcBorders>
              <w:left w:val="nil"/>
              <w:right w:val="nil"/>
            </w:tcBorders>
            <w:shd w:val="clear" w:color="auto" w:fill="auto"/>
            <w:vAlign w:val="center"/>
          </w:tcPr>
          <w:p w:rsidR="0089662C" w:rsidRPr="0092109E" w:rsidRDefault="0089662C" w:rsidP="0092109E">
            <w:pPr>
              <w:spacing w:before="0" w:after="0" w:line="240" w:lineRule="auto"/>
              <w:jc w:val="center"/>
              <w:rPr>
                <w:rFonts w:eastAsia="Calibri" w:cs="Arial"/>
                <w:i/>
                <w:sz w:val="22"/>
                <w:lang w:eastAsia="en-US"/>
              </w:rPr>
            </w:pPr>
            <w:r w:rsidRPr="0092109E">
              <w:rPr>
                <w:rFonts w:eastAsia="Calibri" w:cs="Arial"/>
                <w:i/>
                <w:sz w:val="22"/>
                <w:lang w:eastAsia="en-US"/>
              </w:rPr>
              <w:t>PMF = 0,73 + 2,02x</w:t>
            </w:r>
          </w:p>
        </w:tc>
        <w:tc>
          <w:tcPr>
            <w:tcW w:w="0" w:type="auto"/>
            <w:tcBorders>
              <w:lef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0,96</w:t>
            </w:r>
          </w:p>
        </w:tc>
      </w:tr>
      <w:tr w:rsidR="0089662C" w:rsidRPr="0092109E" w:rsidTr="00860A99">
        <w:tc>
          <w:tcPr>
            <w:tcW w:w="0" w:type="auto"/>
            <w:tcBorders>
              <w:righ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B</w:t>
            </w:r>
          </w:p>
        </w:tc>
        <w:tc>
          <w:tcPr>
            <w:tcW w:w="0" w:type="auto"/>
            <w:tcBorders>
              <w:left w:val="nil"/>
              <w:right w:val="nil"/>
            </w:tcBorders>
            <w:shd w:val="clear" w:color="auto" w:fill="auto"/>
            <w:vAlign w:val="center"/>
          </w:tcPr>
          <w:p w:rsidR="0089662C" w:rsidRPr="0092109E" w:rsidRDefault="0089662C" w:rsidP="0092109E">
            <w:pPr>
              <w:spacing w:before="0" w:after="0" w:line="240" w:lineRule="auto"/>
              <w:jc w:val="center"/>
              <w:rPr>
                <w:rFonts w:eastAsia="Calibri" w:cs="Arial"/>
                <w:i/>
                <w:sz w:val="22"/>
                <w:lang w:eastAsia="en-US"/>
              </w:rPr>
            </w:pPr>
            <w:r w:rsidRPr="0092109E">
              <w:rPr>
                <w:rFonts w:eastAsia="Calibri" w:cs="Arial"/>
                <w:i/>
                <w:sz w:val="22"/>
                <w:lang w:eastAsia="en-US"/>
              </w:rPr>
              <w:t>PMF = 1,94 + 0,77x</w:t>
            </w:r>
          </w:p>
        </w:tc>
        <w:tc>
          <w:tcPr>
            <w:tcW w:w="0" w:type="auto"/>
            <w:tcBorders>
              <w:lef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0,98</w:t>
            </w:r>
          </w:p>
        </w:tc>
      </w:tr>
      <w:tr w:rsidR="0089662C" w:rsidRPr="0092109E" w:rsidTr="00860A99">
        <w:tc>
          <w:tcPr>
            <w:tcW w:w="0" w:type="auto"/>
            <w:tcBorders>
              <w:righ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C</w:t>
            </w:r>
          </w:p>
        </w:tc>
        <w:tc>
          <w:tcPr>
            <w:tcW w:w="0" w:type="auto"/>
            <w:tcBorders>
              <w:left w:val="nil"/>
              <w:right w:val="nil"/>
            </w:tcBorders>
            <w:shd w:val="clear" w:color="auto" w:fill="auto"/>
            <w:vAlign w:val="center"/>
          </w:tcPr>
          <w:p w:rsidR="0089662C" w:rsidRPr="0092109E" w:rsidRDefault="0089662C" w:rsidP="0092109E">
            <w:pPr>
              <w:spacing w:before="0" w:after="0" w:line="240" w:lineRule="auto"/>
              <w:jc w:val="center"/>
              <w:rPr>
                <w:rFonts w:eastAsia="Calibri" w:cs="Arial"/>
                <w:i/>
                <w:sz w:val="22"/>
                <w:lang w:eastAsia="en-US"/>
              </w:rPr>
            </w:pPr>
            <w:r w:rsidRPr="0092109E">
              <w:rPr>
                <w:rFonts w:eastAsia="Calibri" w:cs="Arial"/>
                <w:i/>
                <w:sz w:val="22"/>
                <w:lang w:eastAsia="en-US"/>
              </w:rPr>
              <w:t>PMF = 1,645 + 0,577x</w:t>
            </w:r>
          </w:p>
        </w:tc>
        <w:tc>
          <w:tcPr>
            <w:tcW w:w="0" w:type="auto"/>
            <w:tcBorders>
              <w:lef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0,96</w:t>
            </w:r>
          </w:p>
        </w:tc>
      </w:tr>
      <w:tr w:rsidR="0089662C" w:rsidRPr="0092109E" w:rsidTr="00860A99">
        <w:tc>
          <w:tcPr>
            <w:tcW w:w="0" w:type="auto"/>
            <w:tcBorders>
              <w:righ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D</w:t>
            </w:r>
          </w:p>
        </w:tc>
        <w:tc>
          <w:tcPr>
            <w:tcW w:w="0" w:type="auto"/>
            <w:tcBorders>
              <w:left w:val="nil"/>
              <w:right w:val="nil"/>
            </w:tcBorders>
            <w:shd w:val="clear" w:color="auto" w:fill="auto"/>
            <w:vAlign w:val="center"/>
          </w:tcPr>
          <w:p w:rsidR="0089662C" w:rsidRPr="0092109E" w:rsidRDefault="0089662C" w:rsidP="0092109E">
            <w:pPr>
              <w:spacing w:before="0" w:after="0" w:line="240" w:lineRule="auto"/>
              <w:jc w:val="center"/>
              <w:rPr>
                <w:rFonts w:eastAsia="Calibri" w:cs="Arial"/>
                <w:i/>
                <w:sz w:val="22"/>
                <w:lang w:eastAsia="en-US"/>
              </w:rPr>
            </w:pPr>
            <w:r w:rsidRPr="0092109E">
              <w:rPr>
                <w:rFonts w:eastAsia="Calibri" w:cs="Arial"/>
                <w:i/>
                <w:sz w:val="22"/>
                <w:lang w:eastAsia="en-US"/>
              </w:rPr>
              <w:t>PMF = 1,63 + 0,48x</w:t>
            </w:r>
          </w:p>
        </w:tc>
        <w:tc>
          <w:tcPr>
            <w:tcW w:w="0" w:type="auto"/>
            <w:tcBorders>
              <w:left w:val="nil"/>
            </w:tcBorders>
            <w:shd w:val="clear" w:color="auto" w:fill="auto"/>
            <w:vAlign w:val="center"/>
          </w:tcPr>
          <w:p w:rsidR="0089662C" w:rsidRPr="0092109E" w:rsidRDefault="0089662C" w:rsidP="0092109E">
            <w:pPr>
              <w:spacing w:before="0" w:after="0" w:line="240" w:lineRule="auto"/>
              <w:jc w:val="center"/>
              <w:rPr>
                <w:rFonts w:eastAsia="Calibri" w:cs="Arial"/>
                <w:sz w:val="22"/>
                <w:lang w:eastAsia="en-US"/>
              </w:rPr>
            </w:pPr>
            <w:r w:rsidRPr="0092109E">
              <w:rPr>
                <w:rFonts w:eastAsia="Calibri" w:cs="Arial"/>
                <w:sz w:val="22"/>
                <w:lang w:eastAsia="en-US"/>
              </w:rPr>
              <w:t>0,98</w:t>
            </w:r>
          </w:p>
        </w:tc>
      </w:tr>
    </w:tbl>
    <w:p w:rsidR="0092109E" w:rsidRDefault="0092109E" w:rsidP="0089662C">
      <w:pPr>
        <w:spacing w:before="0" w:after="0"/>
        <w:rPr>
          <w:rFonts w:cs="Arial"/>
          <w:b/>
          <w:bCs/>
          <w:lang w:eastAsia="pt-PT"/>
        </w:rPr>
      </w:pPr>
    </w:p>
    <w:p w:rsidR="0089662C" w:rsidRPr="0089662C" w:rsidRDefault="0089662C" w:rsidP="0089662C">
      <w:pPr>
        <w:spacing w:before="0" w:after="0"/>
        <w:rPr>
          <w:rFonts w:cs="Arial"/>
          <w:b/>
          <w:bCs/>
          <w:lang w:eastAsia="pt-PT"/>
        </w:rPr>
      </w:pPr>
      <w:r w:rsidRPr="0089662C">
        <w:rPr>
          <w:rFonts w:cs="Arial"/>
          <w:b/>
          <w:bCs/>
          <w:lang w:eastAsia="pt-PT"/>
        </w:rPr>
        <w:t>Apariencia externa (AE)</w:t>
      </w:r>
    </w:p>
    <w:p w:rsidR="0089662C" w:rsidRPr="0089662C" w:rsidRDefault="00C75363" w:rsidP="0089662C">
      <w:pPr>
        <w:spacing w:before="0" w:after="0"/>
        <w:rPr>
          <w:rFonts w:eastAsia="Calibri" w:cs="Arial"/>
          <w:lang w:eastAsia="en-US"/>
        </w:rPr>
      </w:pPr>
      <w:r>
        <w:rPr>
          <w:rFonts w:eastAsia="Calibri" w:cs="Arial"/>
          <w:lang w:eastAsia="en-US"/>
        </w:rPr>
        <w:t xml:space="preserve"> </w:t>
      </w:r>
      <w:r w:rsidR="0089662C" w:rsidRPr="0089662C">
        <w:rPr>
          <w:rFonts w:eastAsia="Calibri" w:cs="Arial"/>
          <w:lang w:eastAsia="en-US"/>
        </w:rPr>
        <w:t xml:space="preserve">Con relación a la apariencia externa, se observó un aumento del deterioro de los frutos, en el tratamiento control, con el avance del período de almacenamiento, siendo menor en los tratamientos con cobertura, como se muestra en la </w:t>
      </w:r>
      <w:r w:rsidR="004A3113" w:rsidRPr="004A3113">
        <w:t xml:space="preserve">“Fig. </w:t>
      </w:r>
      <w:r w:rsidR="0092109E">
        <w:t>1</w:t>
      </w:r>
      <w:r w:rsidR="004A3113" w:rsidRPr="004A3113">
        <w:t>”</w:t>
      </w:r>
      <w:r w:rsidR="0089662C" w:rsidRPr="0089662C">
        <w:rPr>
          <w:rFonts w:eastAsia="Calibri" w:cs="Arial"/>
          <w:lang w:eastAsia="en-US"/>
        </w:rPr>
        <w:t xml:space="preserve">. Sin embargo, con el aumento del período de almacenamiento en los tratamientos donde se utilizó cobertura la diferencia fue progresivamente reducida para los tratamientos B y C (1 y 2 %) durante los cuatro y ocho días de almacenamiento, más existió diferencia significativa en relación a los frutos tratados con 3% (tratamiento D). A partir de los doce días existió diferencia significativa entre todos los tratamientos. El tratamiento D presentaba índices menores de deterioro durante el tiempo de almacenamiento. Se constató, por tanto, que el almidón 3% presento eficiencia en la conservación de los frutos, siendo eficaz en controlar las deterioraciones.  </w:t>
      </w:r>
    </w:p>
    <w:p w:rsidR="0089662C" w:rsidRPr="0089662C" w:rsidRDefault="0089662C" w:rsidP="00343D0E">
      <w:pPr>
        <w:spacing w:before="0" w:after="0"/>
        <w:jc w:val="center"/>
        <w:rPr>
          <w:rFonts w:eastAsia="Calibri" w:cs="Arial"/>
          <w:lang w:eastAsia="en-US"/>
        </w:rPr>
      </w:pPr>
      <w:r>
        <w:rPr>
          <w:rFonts w:eastAsia="Calibri" w:cs="Arial"/>
          <w:noProof/>
        </w:rPr>
        <w:lastRenderedPageBreak/>
        <w:drawing>
          <wp:inline distT="0" distB="0" distL="0" distR="0" wp14:anchorId="36AD6361" wp14:editId="34CA56EE">
            <wp:extent cx="4711065" cy="1930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9484" cy="1942598"/>
                    </a:xfrm>
                    <a:prstGeom prst="rect">
                      <a:avLst/>
                    </a:prstGeom>
                    <a:noFill/>
                    <a:ln>
                      <a:noFill/>
                    </a:ln>
                  </pic:spPr>
                </pic:pic>
              </a:graphicData>
            </a:graphic>
          </wp:inline>
        </w:drawing>
      </w:r>
    </w:p>
    <w:p w:rsidR="007403FC" w:rsidRPr="0089662C" w:rsidRDefault="007403FC" w:rsidP="007403FC">
      <w:pPr>
        <w:spacing w:before="0" w:after="0"/>
        <w:rPr>
          <w:rFonts w:eastAsia="Calibri" w:cs="Arial"/>
          <w:lang w:eastAsia="en-US"/>
        </w:rPr>
      </w:pPr>
      <w:r w:rsidRPr="0089662C">
        <w:rPr>
          <w:rFonts w:cs="Arial"/>
          <w:bCs/>
          <w:lang w:eastAsia="pt-PT"/>
        </w:rPr>
        <w:t xml:space="preserve">Figura </w:t>
      </w:r>
      <w:r w:rsidR="005076D1">
        <w:rPr>
          <w:rFonts w:cs="Arial"/>
          <w:bCs/>
          <w:lang w:eastAsia="pt-PT"/>
        </w:rPr>
        <w:t>1</w:t>
      </w:r>
      <w:r w:rsidRPr="0089662C">
        <w:rPr>
          <w:rFonts w:cs="Arial"/>
          <w:bCs/>
          <w:lang w:eastAsia="pt-PT"/>
        </w:rPr>
        <w:t>: Apariencia externa de las frutas en función del tiempo de almacenamiento</w:t>
      </w:r>
      <w:r w:rsidRPr="0089662C">
        <w:rPr>
          <w:rFonts w:eastAsia="Calibri" w:cs="Arial"/>
          <w:lang w:eastAsia="en-US"/>
        </w:rPr>
        <w:t>.</w:t>
      </w:r>
    </w:p>
    <w:p w:rsidR="0089662C" w:rsidRPr="0089662C" w:rsidRDefault="0089662C" w:rsidP="0089662C">
      <w:pPr>
        <w:spacing w:before="0" w:after="0"/>
        <w:rPr>
          <w:rFonts w:cs="Arial"/>
          <w:bCs/>
          <w:lang w:eastAsia="pt-PT"/>
        </w:rPr>
      </w:pPr>
      <w:r w:rsidRPr="0089662C">
        <w:rPr>
          <w:rFonts w:eastAsia="Calibri" w:cs="Arial"/>
          <w:lang w:eastAsia="en-US"/>
        </w:rPr>
        <w:t xml:space="preserve">A partir del análisis de regresión se encontró que el modelo que más se </w:t>
      </w:r>
      <w:r w:rsidRPr="0089662C">
        <w:rPr>
          <w:rFonts w:cs="Arial"/>
          <w:bCs/>
          <w:lang w:eastAsia="pt-PT"/>
        </w:rPr>
        <w:t xml:space="preserve">ajustó es el lineal con incidencia positiva </w:t>
      </w:r>
      <w:r w:rsidR="005076D1">
        <w:rPr>
          <w:rFonts w:cs="Arial"/>
          <w:bCs/>
          <w:lang w:eastAsia="pt-PT"/>
        </w:rPr>
        <w:t>(</w:t>
      </w:r>
      <w:r w:rsidR="005076D1" w:rsidRPr="0089662C">
        <w:rPr>
          <w:rFonts w:eastAsia="Calibri" w:cs="Arial"/>
          <w:lang w:eastAsia="en-US"/>
        </w:rPr>
        <w:t>tabla 3</w:t>
      </w:r>
      <w:r w:rsidR="005076D1">
        <w:rPr>
          <w:rFonts w:eastAsia="Calibri" w:cs="Arial"/>
          <w:lang w:eastAsia="en-US"/>
        </w:rPr>
        <w:t xml:space="preserve">) </w:t>
      </w:r>
      <w:r w:rsidRPr="0089662C">
        <w:rPr>
          <w:rFonts w:cs="Arial"/>
          <w:bCs/>
          <w:lang w:eastAsia="pt-PT"/>
        </w:rPr>
        <w:t>y una relación muy fuerte (coeficiente de determinación, superior a 0,94 y p≤ 0,05), por eso existe relación estadística significativa entre las variables en estudio para un nivel de confianza de 95 %.</w:t>
      </w:r>
      <w:r w:rsidRPr="0089662C">
        <w:rPr>
          <w:rFonts w:cs="Arial"/>
          <w:bCs/>
          <w:color w:val="FF0000"/>
          <w:lang w:eastAsia="pt-PT"/>
        </w:rPr>
        <w:t xml:space="preserve"> </w:t>
      </w:r>
      <w:r w:rsidRPr="0089662C">
        <w:rPr>
          <w:rFonts w:cs="Arial"/>
          <w:bCs/>
          <w:lang w:eastAsia="pt-PT"/>
        </w:rPr>
        <w:t>Con estas funciones de regresión lineal se pueden estimar la apariencia externa (AE) y en función del porcentaje de almidón que se utilice como cobertura durante el almacenamiento. En el tratamiento D que difiere significativamente del resto de los tratamientos, se observa que las AE son de 0,47 grados de daño por cada cuatro días de almacenamiento, en cuanto las de control son de 0,74 grados de daño.</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3887"/>
        <w:gridCol w:w="2504"/>
        <w:gridCol w:w="1717"/>
      </w:tblGrid>
      <w:tr w:rsidR="0089662C" w:rsidRPr="005076D1" w:rsidTr="005076D1">
        <w:trPr>
          <w:jc w:val="center"/>
        </w:trPr>
        <w:tc>
          <w:tcPr>
            <w:tcW w:w="5000" w:type="pct"/>
            <w:gridSpan w:val="4"/>
            <w:tcBorders>
              <w:top w:val="nil"/>
              <w:left w:val="nil"/>
              <w:bottom w:val="single" w:sz="4" w:space="0" w:color="auto"/>
              <w:right w:val="nil"/>
            </w:tcBorders>
            <w:shd w:val="clear" w:color="auto" w:fill="auto"/>
          </w:tcPr>
          <w:p w:rsidR="0089662C" w:rsidRPr="005076D1" w:rsidRDefault="0089662C" w:rsidP="005076D1">
            <w:pPr>
              <w:spacing w:before="0" w:after="0" w:line="240" w:lineRule="auto"/>
              <w:rPr>
                <w:rFonts w:eastAsia="Calibri" w:cs="Arial"/>
                <w:sz w:val="22"/>
                <w:lang w:eastAsia="pt-PT"/>
              </w:rPr>
            </w:pPr>
            <w:r w:rsidRPr="005076D1">
              <w:rPr>
                <w:rFonts w:eastAsia="Calibri" w:cs="Arial"/>
                <w:sz w:val="22"/>
                <w:lang w:eastAsia="pt-PT"/>
              </w:rPr>
              <w:t>Tabla 3: Apariencia externa (AE) m</w:t>
            </w:r>
            <w:r w:rsidRPr="005076D1">
              <w:rPr>
                <w:rFonts w:eastAsia="Calibri" w:cs="Arial"/>
                <w:sz w:val="22"/>
                <w:lang w:eastAsia="en-US"/>
              </w:rPr>
              <w:t>edia</w:t>
            </w:r>
            <w:r w:rsidRPr="005076D1">
              <w:rPr>
                <w:rFonts w:eastAsia="Calibri" w:cs="Arial"/>
                <w:sz w:val="22"/>
                <w:lang w:eastAsia="pt-PT"/>
              </w:rPr>
              <w:t xml:space="preserve"> de la papaya </w:t>
            </w:r>
            <w:r w:rsidRPr="005076D1">
              <w:rPr>
                <w:rFonts w:eastAsia="Calibri" w:cs="Arial"/>
                <w:sz w:val="22"/>
                <w:lang w:eastAsia="en-US"/>
              </w:rPr>
              <w:t>durante el tiempo de almacenamiento.</w:t>
            </w:r>
          </w:p>
        </w:tc>
      </w:tr>
      <w:tr w:rsidR="0089662C" w:rsidRPr="005076D1" w:rsidTr="005076D1">
        <w:trPr>
          <w:jc w:val="center"/>
        </w:trPr>
        <w:tc>
          <w:tcPr>
            <w:tcW w:w="732" w:type="pct"/>
            <w:tcBorders>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Tratamiento</w:t>
            </w:r>
          </w:p>
        </w:tc>
        <w:tc>
          <w:tcPr>
            <w:tcW w:w="2046"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en-US"/>
              </w:rPr>
              <w:t>Media de la AE (grado de daño) durante almacenamiento (Media ± S)</w:t>
            </w:r>
          </w:p>
        </w:tc>
        <w:tc>
          <w:tcPr>
            <w:tcW w:w="1318"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Modelo ajustado</w:t>
            </w:r>
          </w:p>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 xml:space="preserve">(y = a + </w:t>
            </w:r>
            <w:proofErr w:type="spellStart"/>
            <w:r w:rsidRPr="005076D1">
              <w:rPr>
                <w:rFonts w:eastAsia="Calibri" w:cs="Arial"/>
                <w:sz w:val="22"/>
                <w:lang w:eastAsia="pt-PT"/>
              </w:rPr>
              <w:t>bx</w:t>
            </w:r>
            <w:proofErr w:type="spellEnd"/>
            <w:r w:rsidRPr="005076D1">
              <w:rPr>
                <w:rFonts w:eastAsia="Calibri" w:cs="Arial"/>
                <w:sz w:val="22"/>
                <w:lang w:eastAsia="pt-PT"/>
              </w:rPr>
              <w:t>)</w:t>
            </w:r>
          </w:p>
        </w:tc>
        <w:tc>
          <w:tcPr>
            <w:tcW w:w="904" w:type="pct"/>
            <w:tcBorders>
              <w:lef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Coeficiente de</w:t>
            </w:r>
          </w:p>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determinación (R</w:t>
            </w:r>
            <w:r w:rsidRPr="005076D1">
              <w:rPr>
                <w:rFonts w:eastAsia="Calibri" w:cs="Arial"/>
                <w:sz w:val="22"/>
                <w:vertAlign w:val="superscript"/>
                <w:lang w:eastAsia="pt-PT"/>
              </w:rPr>
              <w:t>2</w:t>
            </w:r>
            <w:r w:rsidRPr="005076D1">
              <w:rPr>
                <w:rFonts w:eastAsia="Calibri" w:cs="Arial"/>
                <w:sz w:val="22"/>
                <w:lang w:eastAsia="pt-PT"/>
              </w:rPr>
              <w:t>)</w:t>
            </w:r>
          </w:p>
        </w:tc>
      </w:tr>
      <w:tr w:rsidR="0089662C" w:rsidRPr="005076D1" w:rsidTr="005076D1">
        <w:trPr>
          <w:jc w:val="center"/>
        </w:trPr>
        <w:tc>
          <w:tcPr>
            <w:tcW w:w="732" w:type="pct"/>
            <w:tcBorders>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A</w:t>
            </w:r>
          </w:p>
        </w:tc>
        <w:tc>
          <w:tcPr>
            <w:tcW w:w="2046"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 xml:space="preserve">2,75 </w:t>
            </w:r>
            <w:r w:rsidRPr="005076D1">
              <w:rPr>
                <w:rFonts w:eastAsia="Calibri" w:cs="Arial"/>
                <w:sz w:val="22"/>
                <w:lang w:eastAsia="en-US"/>
              </w:rPr>
              <w:t>± 0,8 c</w:t>
            </w:r>
          </w:p>
        </w:tc>
        <w:tc>
          <w:tcPr>
            <w:tcW w:w="1318"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AT = 1,51 + 0,749x</w:t>
            </w:r>
          </w:p>
        </w:tc>
        <w:tc>
          <w:tcPr>
            <w:tcW w:w="904" w:type="pct"/>
            <w:tcBorders>
              <w:lef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0,96</w:t>
            </w:r>
          </w:p>
        </w:tc>
      </w:tr>
      <w:tr w:rsidR="0089662C" w:rsidRPr="005076D1" w:rsidTr="005076D1">
        <w:trPr>
          <w:jc w:val="center"/>
        </w:trPr>
        <w:tc>
          <w:tcPr>
            <w:tcW w:w="732" w:type="pct"/>
            <w:tcBorders>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B</w:t>
            </w:r>
          </w:p>
        </w:tc>
        <w:tc>
          <w:tcPr>
            <w:tcW w:w="2046"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 xml:space="preserve">2,43 </w:t>
            </w:r>
            <w:r w:rsidRPr="005076D1">
              <w:rPr>
                <w:rFonts w:eastAsia="Calibri" w:cs="Arial"/>
                <w:sz w:val="22"/>
                <w:lang w:eastAsia="en-US"/>
              </w:rPr>
              <w:t>± 0,9 b</w:t>
            </w:r>
          </w:p>
        </w:tc>
        <w:tc>
          <w:tcPr>
            <w:tcW w:w="1318"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AT = 0,2 + 0,65x</w:t>
            </w:r>
          </w:p>
        </w:tc>
        <w:tc>
          <w:tcPr>
            <w:tcW w:w="904" w:type="pct"/>
            <w:tcBorders>
              <w:lef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0,97</w:t>
            </w:r>
          </w:p>
        </w:tc>
      </w:tr>
      <w:tr w:rsidR="0089662C" w:rsidRPr="005076D1" w:rsidTr="005076D1">
        <w:trPr>
          <w:jc w:val="center"/>
        </w:trPr>
        <w:tc>
          <w:tcPr>
            <w:tcW w:w="732" w:type="pct"/>
            <w:tcBorders>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C</w:t>
            </w:r>
          </w:p>
        </w:tc>
        <w:tc>
          <w:tcPr>
            <w:tcW w:w="2046"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 xml:space="preserve">2,16 </w:t>
            </w:r>
            <w:r w:rsidRPr="005076D1">
              <w:rPr>
                <w:rFonts w:eastAsia="Calibri" w:cs="Arial"/>
                <w:sz w:val="22"/>
                <w:lang w:eastAsia="en-US"/>
              </w:rPr>
              <w:t>± 0,7 b</w:t>
            </w:r>
          </w:p>
        </w:tc>
        <w:tc>
          <w:tcPr>
            <w:tcW w:w="1318"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AT = 0,384 + 0,516x</w:t>
            </w:r>
          </w:p>
        </w:tc>
        <w:tc>
          <w:tcPr>
            <w:tcW w:w="904" w:type="pct"/>
            <w:tcBorders>
              <w:lef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0,98</w:t>
            </w:r>
          </w:p>
        </w:tc>
      </w:tr>
      <w:tr w:rsidR="0089662C" w:rsidRPr="005076D1" w:rsidTr="005076D1">
        <w:trPr>
          <w:jc w:val="center"/>
        </w:trPr>
        <w:tc>
          <w:tcPr>
            <w:tcW w:w="732" w:type="pct"/>
            <w:tcBorders>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D</w:t>
            </w:r>
          </w:p>
        </w:tc>
        <w:tc>
          <w:tcPr>
            <w:tcW w:w="2046"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 xml:space="preserve">1,91 </w:t>
            </w:r>
            <w:r w:rsidRPr="005076D1">
              <w:rPr>
                <w:rFonts w:eastAsia="Calibri" w:cs="Arial"/>
                <w:sz w:val="22"/>
                <w:lang w:eastAsia="en-US"/>
              </w:rPr>
              <w:t>± 0,7 a</w:t>
            </w:r>
          </w:p>
        </w:tc>
        <w:tc>
          <w:tcPr>
            <w:tcW w:w="1318"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AT = 0,307 + 0,475x</w:t>
            </w:r>
          </w:p>
        </w:tc>
        <w:tc>
          <w:tcPr>
            <w:tcW w:w="904" w:type="pct"/>
            <w:tcBorders>
              <w:lef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0,94</w:t>
            </w:r>
          </w:p>
        </w:tc>
      </w:tr>
      <w:tr w:rsidR="0089662C" w:rsidRPr="005076D1" w:rsidTr="005076D1">
        <w:trPr>
          <w:jc w:val="center"/>
        </w:trPr>
        <w:tc>
          <w:tcPr>
            <w:tcW w:w="732" w:type="pct"/>
            <w:tcBorders>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proofErr w:type="spellStart"/>
            <w:r w:rsidRPr="005076D1">
              <w:rPr>
                <w:rFonts w:eastAsia="Calibri" w:cs="Arial"/>
                <w:sz w:val="22"/>
                <w:lang w:eastAsia="pt-PT"/>
              </w:rPr>
              <w:t>Esx</w:t>
            </w:r>
            <w:proofErr w:type="spellEnd"/>
          </w:p>
        </w:tc>
        <w:tc>
          <w:tcPr>
            <w:tcW w:w="2046"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0,213</w:t>
            </w:r>
          </w:p>
        </w:tc>
        <w:tc>
          <w:tcPr>
            <w:tcW w:w="1318" w:type="pct"/>
            <w:tcBorders>
              <w:left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w:t>
            </w:r>
          </w:p>
        </w:tc>
        <w:tc>
          <w:tcPr>
            <w:tcW w:w="904" w:type="pct"/>
            <w:tcBorders>
              <w:lef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w:t>
            </w:r>
          </w:p>
        </w:tc>
      </w:tr>
      <w:tr w:rsidR="0089662C" w:rsidRPr="005076D1" w:rsidTr="005076D1">
        <w:trPr>
          <w:jc w:val="center"/>
        </w:trPr>
        <w:tc>
          <w:tcPr>
            <w:tcW w:w="732" w:type="pct"/>
            <w:tcBorders>
              <w:bottom w:val="single" w:sz="4" w:space="0" w:color="auto"/>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CV (%)</w:t>
            </w:r>
          </w:p>
        </w:tc>
        <w:tc>
          <w:tcPr>
            <w:tcW w:w="2046" w:type="pct"/>
            <w:tcBorders>
              <w:left w:val="nil"/>
              <w:bottom w:val="single" w:sz="4" w:space="0" w:color="auto"/>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12,8</w:t>
            </w:r>
          </w:p>
        </w:tc>
        <w:tc>
          <w:tcPr>
            <w:tcW w:w="1318" w:type="pct"/>
            <w:tcBorders>
              <w:left w:val="nil"/>
              <w:bottom w:val="single" w:sz="4" w:space="0" w:color="auto"/>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w:t>
            </w:r>
          </w:p>
        </w:tc>
        <w:tc>
          <w:tcPr>
            <w:tcW w:w="904" w:type="pct"/>
            <w:tcBorders>
              <w:left w:val="nil"/>
              <w:bottom w:val="single" w:sz="4" w:space="0" w:color="auto"/>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sz w:val="22"/>
                <w:lang w:eastAsia="pt-PT"/>
              </w:rPr>
              <w:t>-</w:t>
            </w:r>
          </w:p>
        </w:tc>
      </w:tr>
      <w:tr w:rsidR="0089662C" w:rsidRPr="005076D1" w:rsidTr="005076D1">
        <w:trPr>
          <w:jc w:val="center"/>
        </w:trPr>
        <w:tc>
          <w:tcPr>
            <w:tcW w:w="5000" w:type="pct"/>
            <w:gridSpan w:val="4"/>
            <w:tcBorders>
              <w:left w:val="nil"/>
              <w:bottom w:val="nil"/>
              <w:right w:val="nil"/>
            </w:tcBorders>
            <w:shd w:val="clear" w:color="auto" w:fill="auto"/>
            <w:vAlign w:val="center"/>
          </w:tcPr>
          <w:p w:rsidR="0089662C" w:rsidRPr="005076D1" w:rsidRDefault="0089662C" w:rsidP="005076D1">
            <w:pPr>
              <w:spacing w:before="0" w:after="0" w:line="240" w:lineRule="auto"/>
              <w:jc w:val="center"/>
              <w:rPr>
                <w:rFonts w:eastAsia="Calibri" w:cs="Arial"/>
                <w:sz w:val="22"/>
                <w:lang w:eastAsia="pt-PT"/>
              </w:rPr>
            </w:pPr>
            <w:r w:rsidRPr="005076D1">
              <w:rPr>
                <w:rFonts w:eastAsia="Calibri" w:cs="Arial"/>
                <w:i/>
                <w:sz w:val="22"/>
                <w:lang w:eastAsia="en-US"/>
              </w:rPr>
              <w:t xml:space="preserve">Letras no comunes difieren según la prueba de rangos múltiples de </w:t>
            </w:r>
            <w:proofErr w:type="spellStart"/>
            <w:r w:rsidRPr="005076D1">
              <w:rPr>
                <w:rFonts w:eastAsia="Calibri" w:cs="Arial"/>
                <w:i/>
                <w:sz w:val="22"/>
                <w:lang w:eastAsia="en-US"/>
              </w:rPr>
              <w:t>Tukey</w:t>
            </w:r>
            <w:proofErr w:type="spellEnd"/>
            <w:r w:rsidRPr="005076D1">
              <w:rPr>
                <w:rFonts w:eastAsia="Calibri" w:cs="Arial"/>
                <w:i/>
                <w:sz w:val="22"/>
                <w:lang w:eastAsia="en-US"/>
              </w:rPr>
              <w:t xml:space="preserve"> (p ≤ 0,05.</w:t>
            </w:r>
          </w:p>
        </w:tc>
      </w:tr>
    </w:tbl>
    <w:p w:rsidR="005076D1" w:rsidRDefault="005076D1" w:rsidP="0089662C">
      <w:pPr>
        <w:spacing w:before="0" w:after="0"/>
        <w:rPr>
          <w:rFonts w:cs="Arial"/>
          <w:b/>
          <w:bCs/>
          <w:lang w:eastAsia="pt-PT"/>
        </w:rPr>
      </w:pPr>
    </w:p>
    <w:p w:rsidR="0089662C" w:rsidRPr="0089662C" w:rsidRDefault="0089662C" w:rsidP="0089662C">
      <w:pPr>
        <w:spacing w:before="0" w:after="0"/>
        <w:rPr>
          <w:rFonts w:cs="Arial"/>
          <w:b/>
          <w:bCs/>
          <w:lang w:eastAsia="pt-PT"/>
        </w:rPr>
      </w:pPr>
      <w:r w:rsidRPr="0089662C">
        <w:rPr>
          <w:rFonts w:cs="Arial"/>
          <w:b/>
          <w:bCs/>
          <w:lang w:eastAsia="pt-PT"/>
        </w:rPr>
        <w:t>Índice de color de la cascara (CC)</w:t>
      </w:r>
    </w:p>
    <w:p w:rsidR="0089662C" w:rsidRDefault="0089662C" w:rsidP="0089662C">
      <w:pPr>
        <w:spacing w:before="0" w:after="0"/>
        <w:rPr>
          <w:rFonts w:eastAsia="Calibri" w:cs="Arial"/>
          <w:lang w:eastAsia="en-US"/>
        </w:rPr>
      </w:pPr>
      <w:r w:rsidRPr="0089662C">
        <w:rPr>
          <w:rFonts w:eastAsia="Calibri" w:cs="Arial"/>
          <w:lang w:eastAsia="en-US"/>
        </w:rPr>
        <w:t xml:space="preserve">El índice de color de la cascara de los frutos durante los días de almacenamiento, presentado en la </w:t>
      </w:r>
      <w:r w:rsidR="0016335B" w:rsidRPr="0016335B">
        <w:t xml:space="preserve">“Fig. </w:t>
      </w:r>
      <w:r w:rsidR="005076D1">
        <w:t>2</w:t>
      </w:r>
      <w:r w:rsidR="0016335B" w:rsidRPr="0016335B">
        <w:t>”</w:t>
      </w:r>
      <w:r w:rsidR="0072737C">
        <w:rPr>
          <w:rFonts w:eastAsia="Calibri" w:cs="Arial"/>
          <w:lang w:eastAsia="en-US"/>
        </w:rPr>
        <w:t xml:space="preserve"> con valor medio inicial 1</w:t>
      </w:r>
      <w:r w:rsidRPr="0089662C">
        <w:rPr>
          <w:rFonts w:eastAsia="Calibri" w:cs="Arial"/>
          <w:lang w:eastAsia="en-US"/>
        </w:rPr>
        <w:t xml:space="preserve">. Se observa que el índice de color de la cascara tiende a aumentar con los días de almacenamiento. El tratamiento sin cobertura, los frutos control presentan media significativa superior a los demás tratamientos, indicando mayor maduración durante el almacenamiento. A los doce días </w:t>
      </w:r>
      <w:r w:rsidRPr="0089662C">
        <w:rPr>
          <w:rFonts w:eastAsia="Calibri" w:cs="Arial"/>
          <w:lang w:eastAsia="en-US"/>
        </w:rPr>
        <w:lastRenderedPageBreak/>
        <w:t xml:space="preserve">el tratamiento A ya tenía entre un 50 a 75 % de superficie de la cascara amarilla, mientras que el tratamiento con cobertura solo tenía de 25 a 50 % de color amarillo. Los que frutos que presenten más de 50 % de la cascara con coloración amarilla están óptimos para comercialización. </w:t>
      </w:r>
    </w:p>
    <w:p w:rsidR="0089662C" w:rsidRPr="0089662C" w:rsidRDefault="0089662C" w:rsidP="00343D0E">
      <w:pPr>
        <w:spacing w:before="0" w:after="0"/>
        <w:jc w:val="center"/>
        <w:rPr>
          <w:rFonts w:eastAsia="Calibri" w:cs="Arial"/>
          <w:noProof/>
        </w:rPr>
      </w:pPr>
      <w:r>
        <w:rPr>
          <w:rFonts w:eastAsia="Calibri" w:cs="Arial"/>
          <w:noProof/>
        </w:rPr>
        <w:drawing>
          <wp:inline distT="0" distB="0" distL="0" distR="0" wp14:anchorId="5175C85E" wp14:editId="2E94AB2C">
            <wp:extent cx="3975735" cy="188711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3705" cy="1895644"/>
                    </a:xfrm>
                    <a:prstGeom prst="rect">
                      <a:avLst/>
                    </a:prstGeom>
                    <a:noFill/>
                    <a:ln>
                      <a:noFill/>
                    </a:ln>
                  </pic:spPr>
                </pic:pic>
              </a:graphicData>
            </a:graphic>
          </wp:inline>
        </w:drawing>
      </w:r>
    </w:p>
    <w:p w:rsidR="007403FC" w:rsidRPr="0089662C" w:rsidRDefault="007403FC" w:rsidP="007403FC">
      <w:pPr>
        <w:spacing w:before="0" w:after="0"/>
        <w:rPr>
          <w:rFonts w:eastAsia="Calibri" w:cs="Arial"/>
          <w:lang w:eastAsia="en-US"/>
        </w:rPr>
      </w:pPr>
      <w:r w:rsidRPr="0089662C">
        <w:rPr>
          <w:rFonts w:eastAsia="Calibri" w:cs="Arial"/>
          <w:lang w:eastAsia="en-US"/>
        </w:rPr>
        <w:t xml:space="preserve">Figura </w:t>
      </w:r>
      <w:r w:rsidR="0072737C">
        <w:rPr>
          <w:rFonts w:eastAsia="Calibri" w:cs="Arial"/>
          <w:lang w:eastAsia="en-US"/>
        </w:rPr>
        <w:t>2</w:t>
      </w:r>
      <w:r w:rsidRPr="0089662C">
        <w:rPr>
          <w:rFonts w:eastAsia="Calibri" w:cs="Arial"/>
          <w:lang w:eastAsia="en-US"/>
        </w:rPr>
        <w:t>: Índice de color de la cascara de papaya en función del tiempo de almacenamiento</w:t>
      </w:r>
    </w:p>
    <w:p w:rsidR="0089662C" w:rsidRPr="0089662C" w:rsidRDefault="0089662C" w:rsidP="0089662C">
      <w:pPr>
        <w:spacing w:before="0" w:after="0"/>
        <w:rPr>
          <w:rFonts w:eastAsia="Calibri" w:cs="Arial"/>
          <w:lang w:eastAsia="en-US"/>
        </w:rPr>
      </w:pPr>
      <w:r w:rsidRPr="0089662C">
        <w:rPr>
          <w:rFonts w:eastAsia="Calibri" w:cs="Arial"/>
          <w:lang w:eastAsia="en-US"/>
        </w:rPr>
        <w:t xml:space="preserve">El tratamiento control a los 16 días de almacenamiento ya se presentaban con 75 a 100 % de la superficie de los frutos amarillas, aproximándose al estadio avanzado de maduración, con pigmentos oscuros y marrones en la superficie de los frutos, característicos de la aparición de hongos y depresiones en la cascara. </w:t>
      </w:r>
      <w:proofErr w:type="spellStart"/>
      <w:r w:rsidRPr="0089662C">
        <w:rPr>
          <w:rFonts w:eastAsia="Calibri" w:cs="Arial"/>
          <w:lang w:eastAsia="en-US"/>
        </w:rPr>
        <w:t>Castricini</w:t>
      </w:r>
      <w:proofErr w:type="spellEnd"/>
      <w:r w:rsidRPr="0089662C">
        <w:rPr>
          <w:rFonts w:eastAsia="Calibri" w:cs="Arial"/>
          <w:lang w:eastAsia="en-US"/>
        </w:rPr>
        <w:t xml:space="preserve"> (2019), observaron resultados similares con concentración de almidón al 3 % y atribuyeron este comportamiento al efecto positivo del almidón de yuca que colaboró para mayor retención de clorofila, consecuentemente, mayor concentración de CO</w:t>
      </w:r>
      <w:r w:rsidRPr="0089662C">
        <w:rPr>
          <w:rFonts w:eastAsia="Calibri" w:cs="Arial"/>
          <w:vertAlign w:val="subscript"/>
          <w:lang w:eastAsia="en-US"/>
        </w:rPr>
        <w:t>2</w:t>
      </w:r>
      <w:r w:rsidRPr="0089662C">
        <w:rPr>
          <w:rFonts w:eastAsia="Calibri" w:cs="Arial"/>
          <w:lang w:eastAsia="en-US"/>
        </w:rPr>
        <w:t xml:space="preserve"> y menor de O</w:t>
      </w:r>
      <w:r w:rsidRPr="0089662C">
        <w:rPr>
          <w:rFonts w:eastAsia="Calibri" w:cs="Arial"/>
          <w:vertAlign w:val="subscript"/>
          <w:lang w:eastAsia="en-US"/>
        </w:rPr>
        <w:t>2</w:t>
      </w:r>
      <w:r w:rsidRPr="0089662C">
        <w:rPr>
          <w:rFonts w:eastAsia="Calibri" w:cs="Arial"/>
          <w:lang w:eastAsia="en-US"/>
        </w:rPr>
        <w:t xml:space="preserve"> y de etileno en la pulpa del fruto, ayudando a reducir las tasas metabólicas.</w:t>
      </w:r>
    </w:p>
    <w:p w:rsidR="0089662C" w:rsidRDefault="0089662C" w:rsidP="0089662C">
      <w:pPr>
        <w:spacing w:before="0" w:after="160"/>
        <w:rPr>
          <w:rFonts w:eastAsia="Calibri" w:cs="Arial"/>
          <w:lang w:eastAsia="en-US"/>
        </w:rPr>
      </w:pPr>
      <w:r w:rsidRPr="0089662C">
        <w:rPr>
          <w:rFonts w:eastAsia="Calibri" w:cs="Arial"/>
          <w:lang w:eastAsia="en-US"/>
        </w:rPr>
        <w:t xml:space="preserve">En la tabla 4 se puede observar que el tratamiento D (3 % almidón) difiere significativamente del resto con </w:t>
      </w:r>
      <w:r w:rsidR="0072737C">
        <w:rPr>
          <w:rFonts w:eastAsia="Calibri" w:cs="Arial"/>
          <w:lang w:eastAsia="en-US"/>
        </w:rPr>
        <w:t>una medía 1,4</w:t>
      </w:r>
      <w:r w:rsidRPr="0089662C">
        <w:rPr>
          <w:rFonts w:eastAsia="Calibri" w:cs="Arial"/>
          <w:lang w:eastAsia="en-US"/>
        </w:rPr>
        <w:t xml:space="preserve"> veces inferior que el tratamiento control. Los revestimientos del 1% y 2% de almidón no difieren entre sí, más se observa que existe una disminución de la pigmentación anaranjada de la cascara de ambos frutos. El nivel crítico o nivel de significación (</w:t>
      </w:r>
      <w:r w:rsidRPr="0089662C">
        <w:rPr>
          <w:rFonts w:eastAsia="Calibri" w:cs="Arial"/>
          <w:i/>
          <w:lang w:eastAsia="en-US"/>
        </w:rPr>
        <w:t>Sig</w:t>
      </w:r>
      <w:r w:rsidRPr="0089662C">
        <w:rPr>
          <w:rFonts w:eastAsia="Calibri" w:cs="Arial"/>
          <w:lang w:eastAsia="en-US"/>
        </w:rPr>
        <w:t xml:space="preserve">.) es menor que el prefijado en la investigación, con un coeficiente de variación (CV) de 18,1 % bajo estas condiciones. Las medias para el color de la cascara obtenidas en este trabajo indican que existió una reducción en la degradación de la clorofila en la cascara, pero sin perjuicio a la coloración final de los frutos. </w:t>
      </w:r>
      <w:proofErr w:type="spellStart"/>
      <w:r w:rsidRPr="0089662C">
        <w:rPr>
          <w:rFonts w:eastAsia="Calibri" w:cs="Arial"/>
          <w:lang w:eastAsia="en-US"/>
        </w:rPr>
        <w:t>Song</w:t>
      </w:r>
      <w:proofErr w:type="spellEnd"/>
      <w:r w:rsidRPr="0089662C">
        <w:rPr>
          <w:rFonts w:eastAsia="Calibri" w:cs="Arial"/>
          <w:lang w:eastAsia="en-US"/>
        </w:rPr>
        <w:t xml:space="preserve"> et al., (2018), afirman que uno de los principales indicativos del punto de cosecha de la fruta bomba es la alteración en el color de la cascara.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439"/>
        <w:gridCol w:w="3032"/>
        <w:gridCol w:w="288"/>
        <w:gridCol w:w="1454"/>
        <w:gridCol w:w="1612"/>
      </w:tblGrid>
      <w:tr w:rsidR="0089662C" w:rsidRPr="0072737C" w:rsidTr="00D05D7E">
        <w:trPr>
          <w:jc w:val="center"/>
        </w:trPr>
        <w:tc>
          <w:tcPr>
            <w:tcW w:w="5000" w:type="pct"/>
            <w:gridSpan w:val="6"/>
            <w:tcBorders>
              <w:top w:val="nil"/>
              <w:left w:val="nil"/>
              <w:bottom w:val="single" w:sz="4" w:space="0" w:color="auto"/>
              <w:right w:val="nil"/>
            </w:tcBorders>
            <w:shd w:val="clear" w:color="auto" w:fill="auto"/>
          </w:tcPr>
          <w:p w:rsidR="0089662C" w:rsidRPr="0072737C" w:rsidRDefault="0089662C" w:rsidP="0072737C">
            <w:pPr>
              <w:spacing w:before="0" w:after="0" w:line="240" w:lineRule="auto"/>
              <w:rPr>
                <w:rFonts w:eastAsia="Calibri" w:cs="Arial"/>
                <w:sz w:val="22"/>
                <w:lang w:eastAsia="en-US"/>
              </w:rPr>
            </w:pPr>
            <w:r w:rsidRPr="0072737C">
              <w:rPr>
                <w:rFonts w:eastAsia="Calibri" w:cs="Arial"/>
                <w:color w:val="000000"/>
                <w:sz w:val="22"/>
              </w:rPr>
              <w:lastRenderedPageBreak/>
              <w:t xml:space="preserve">Tabla: 4: Media de índice de color de la cascara (CC) en 16 días de almacenamiento de los  frutos de la papaya </w:t>
            </w:r>
            <w:r w:rsidRPr="0072737C">
              <w:rPr>
                <w:rFonts w:eastAsia="Calibri" w:cs="Arial"/>
                <w:sz w:val="22"/>
                <w:lang w:eastAsia="en-US"/>
              </w:rPr>
              <w:t>con y sin revestimiento con almidón de yuca.</w:t>
            </w:r>
          </w:p>
        </w:tc>
      </w:tr>
      <w:tr w:rsidR="0089662C" w:rsidRPr="0072737C" w:rsidTr="00DC2840">
        <w:trPr>
          <w:trHeight w:val="68"/>
          <w:jc w:val="center"/>
        </w:trPr>
        <w:tc>
          <w:tcPr>
            <w:tcW w:w="840" w:type="pct"/>
            <w:vMerge w:val="restart"/>
            <w:tcBorders>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Tratamientos</w:t>
            </w:r>
          </w:p>
        </w:tc>
        <w:tc>
          <w:tcPr>
            <w:tcW w:w="765" w:type="pct"/>
            <w:vMerge w:val="restar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Estadio de maduración inicial</w:t>
            </w:r>
          </w:p>
        </w:tc>
        <w:tc>
          <w:tcPr>
            <w:tcW w:w="1612" w:type="pct"/>
            <w:vMerge w:val="restar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Media da CC (estadios de maduración) (Media ± S)</w:t>
            </w:r>
          </w:p>
        </w:tc>
        <w:tc>
          <w:tcPr>
            <w:tcW w:w="1783" w:type="pct"/>
            <w:gridSpan w:val="3"/>
            <w:tcBorders>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95% intervalo de confianza para las medias</w:t>
            </w:r>
          </w:p>
        </w:tc>
      </w:tr>
      <w:tr w:rsidR="0089662C" w:rsidRPr="0072737C" w:rsidTr="00DC2840">
        <w:trPr>
          <w:trHeight w:val="67"/>
          <w:jc w:val="center"/>
        </w:trPr>
        <w:tc>
          <w:tcPr>
            <w:tcW w:w="840" w:type="pct"/>
            <w:vMerge/>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p>
        </w:tc>
        <w:tc>
          <w:tcPr>
            <w:tcW w:w="765" w:type="pct"/>
            <w:vMerge/>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p>
        </w:tc>
        <w:tc>
          <w:tcPr>
            <w:tcW w:w="1612" w:type="pct"/>
            <w:vMerge/>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p>
        </w:tc>
        <w:tc>
          <w:tcPr>
            <w:tcW w:w="92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Límite inferior</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Límite superior</w:t>
            </w:r>
          </w:p>
        </w:tc>
      </w:tr>
      <w:tr w:rsidR="0089662C" w:rsidRPr="0072737C" w:rsidTr="00DC2840">
        <w:trPr>
          <w:jc w:val="center"/>
        </w:trPr>
        <w:tc>
          <w:tcPr>
            <w:tcW w:w="840" w:type="pct"/>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A</w:t>
            </w:r>
          </w:p>
        </w:tc>
        <w:tc>
          <w:tcPr>
            <w:tcW w:w="765"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1,0</w:t>
            </w:r>
          </w:p>
        </w:tc>
        <w:tc>
          <w:tcPr>
            <w:tcW w:w="176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3,29 ± 1,4 c</w:t>
            </w:r>
          </w:p>
        </w:tc>
        <w:tc>
          <w:tcPr>
            <w:tcW w:w="773"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1,30</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4,66</w:t>
            </w:r>
          </w:p>
        </w:tc>
      </w:tr>
      <w:tr w:rsidR="0089662C" w:rsidRPr="0072737C" w:rsidTr="00DC2840">
        <w:trPr>
          <w:jc w:val="center"/>
        </w:trPr>
        <w:tc>
          <w:tcPr>
            <w:tcW w:w="840" w:type="pct"/>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B</w:t>
            </w:r>
          </w:p>
        </w:tc>
        <w:tc>
          <w:tcPr>
            <w:tcW w:w="765"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1,0</w:t>
            </w:r>
          </w:p>
        </w:tc>
        <w:tc>
          <w:tcPr>
            <w:tcW w:w="176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2,79 ± 1,2 b</w:t>
            </w:r>
          </w:p>
        </w:tc>
        <w:tc>
          <w:tcPr>
            <w:tcW w:w="773"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1,12</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3,84</w:t>
            </w:r>
          </w:p>
        </w:tc>
      </w:tr>
      <w:tr w:rsidR="0089662C" w:rsidRPr="0072737C" w:rsidTr="00DC2840">
        <w:trPr>
          <w:jc w:val="center"/>
        </w:trPr>
        <w:tc>
          <w:tcPr>
            <w:tcW w:w="840" w:type="pct"/>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C</w:t>
            </w:r>
          </w:p>
        </w:tc>
        <w:tc>
          <w:tcPr>
            <w:tcW w:w="765"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1,0</w:t>
            </w:r>
          </w:p>
        </w:tc>
        <w:tc>
          <w:tcPr>
            <w:tcW w:w="176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2,55 ± 1,0 b</w:t>
            </w:r>
          </w:p>
        </w:tc>
        <w:tc>
          <w:tcPr>
            <w:tcW w:w="773"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1,19</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3,52</w:t>
            </w:r>
          </w:p>
        </w:tc>
      </w:tr>
      <w:tr w:rsidR="0089662C" w:rsidRPr="0072737C" w:rsidTr="00DC2840">
        <w:trPr>
          <w:jc w:val="center"/>
        </w:trPr>
        <w:tc>
          <w:tcPr>
            <w:tcW w:w="840" w:type="pct"/>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D</w:t>
            </w:r>
          </w:p>
        </w:tc>
        <w:tc>
          <w:tcPr>
            <w:tcW w:w="765"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1,0</w:t>
            </w:r>
          </w:p>
        </w:tc>
        <w:tc>
          <w:tcPr>
            <w:tcW w:w="176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2,27 ± 0,8 a</w:t>
            </w:r>
          </w:p>
        </w:tc>
        <w:tc>
          <w:tcPr>
            <w:tcW w:w="773"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1,13</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3,02</w:t>
            </w:r>
          </w:p>
        </w:tc>
      </w:tr>
      <w:tr w:rsidR="0089662C" w:rsidRPr="0072737C" w:rsidTr="00DC2840">
        <w:trPr>
          <w:jc w:val="center"/>
        </w:trPr>
        <w:tc>
          <w:tcPr>
            <w:tcW w:w="840" w:type="pct"/>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proofErr w:type="spellStart"/>
            <w:r w:rsidRPr="0072737C">
              <w:rPr>
                <w:rFonts w:eastAsia="Calibri" w:cs="Arial"/>
                <w:sz w:val="22"/>
                <w:lang w:eastAsia="en-US"/>
              </w:rPr>
              <w:t>Esx</w:t>
            </w:r>
            <w:proofErr w:type="spellEnd"/>
          </w:p>
        </w:tc>
        <w:tc>
          <w:tcPr>
            <w:tcW w:w="765"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176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0,277</w:t>
            </w:r>
          </w:p>
        </w:tc>
        <w:tc>
          <w:tcPr>
            <w:tcW w:w="773"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r>
      <w:tr w:rsidR="0089662C" w:rsidRPr="0072737C" w:rsidTr="00DC2840">
        <w:trPr>
          <w:jc w:val="center"/>
        </w:trPr>
        <w:tc>
          <w:tcPr>
            <w:tcW w:w="840" w:type="pct"/>
            <w:tcBorders>
              <w:top w:val="single" w:sz="4" w:space="0" w:color="auto"/>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CV (%)</w:t>
            </w:r>
          </w:p>
        </w:tc>
        <w:tc>
          <w:tcPr>
            <w:tcW w:w="765"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1765" w:type="pct"/>
            <w:gridSpan w:val="2"/>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18,1</w:t>
            </w:r>
          </w:p>
        </w:tc>
        <w:tc>
          <w:tcPr>
            <w:tcW w:w="773" w:type="pct"/>
            <w:tcBorders>
              <w:top w:val="single" w:sz="4" w:space="0" w:color="auto"/>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858" w:type="pct"/>
            <w:tcBorders>
              <w:top w:val="single" w:sz="4" w:space="0" w:color="auto"/>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r>
      <w:tr w:rsidR="0089662C" w:rsidRPr="0072737C" w:rsidTr="00D05D7E">
        <w:trPr>
          <w:jc w:val="center"/>
        </w:trPr>
        <w:tc>
          <w:tcPr>
            <w:tcW w:w="5000" w:type="pct"/>
            <w:gridSpan w:val="6"/>
            <w:tcBorders>
              <w:left w:val="nil"/>
              <w:bottom w:val="nil"/>
              <w:right w:val="nil"/>
            </w:tcBorders>
            <w:shd w:val="clear" w:color="auto" w:fill="auto"/>
          </w:tcPr>
          <w:p w:rsidR="0089662C" w:rsidRDefault="0089662C" w:rsidP="0072737C">
            <w:pPr>
              <w:spacing w:before="0" w:after="0" w:line="240" w:lineRule="auto"/>
              <w:jc w:val="center"/>
              <w:rPr>
                <w:rFonts w:eastAsia="Calibri" w:cs="Arial"/>
                <w:i/>
                <w:sz w:val="22"/>
                <w:lang w:eastAsia="en-US"/>
              </w:rPr>
            </w:pPr>
            <w:r w:rsidRPr="0072737C">
              <w:rPr>
                <w:rFonts w:eastAsia="Calibri" w:cs="Arial"/>
                <w:i/>
                <w:sz w:val="22"/>
                <w:lang w:eastAsia="en-US"/>
              </w:rPr>
              <w:t xml:space="preserve">Letras no comunes difieren según la prueba de rangos múltiples de </w:t>
            </w:r>
            <w:proofErr w:type="spellStart"/>
            <w:r w:rsidRPr="0072737C">
              <w:rPr>
                <w:rFonts w:eastAsia="Calibri" w:cs="Arial"/>
                <w:i/>
                <w:sz w:val="22"/>
                <w:lang w:eastAsia="en-US"/>
              </w:rPr>
              <w:t>Tukey</w:t>
            </w:r>
            <w:proofErr w:type="spellEnd"/>
            <w:r w:rsidRPr="0072737C">
              <w:rPr>
                <w:rFonts w:eastAsia="Calibri" w:cs="Arial"/>
                <w:i/>
                <w:sz w:val="22"/>
                <w:lang w:eastAsia="en-US"/>
              </w:rPr>
              <w:t xml:space="preserve"> (p ≤ 0,05.</w:t>
            </w:r>
          </w:p>
          <w:p w:rsidR="0072737C" w:rsidRPr="0072737C" w:rsidRDefault="0072737C" w:rsidP="0072737C">
            <w:pPr>
              <w:spacing w:before="0" w:after="0" w:line="240" w:lineRule="auto"/>
              <w:jc w:val="center"/>
              <w:rPr>
                <w:rFonts w:eastAsia="Calibri" w:cs="Arial"/>
                <w:i/>
                <w:sz w:val="22"/>
                <w:lang w:eastAsia="en-US"/>
              </w:rPr>
            </w:pPr>
          </w:p>
        </w:tc>
      </w:tr>
    </w:tbl>
    <w:p w:rsidR="0089662C" w:rsidRPr="0089662C" w:rsidRDefault="0089662C" w:rsidP="0089662C">
      <w:pPr>
        <w:spacing w:before="0" w:after="160"/>
        <w:rPr>
          <w:rFonts w:eastAsia="Calibri" w:cs="Arial"/>
          <w:lang w:eastAsia="en-US"/>
        </w:rPr>
      </w:pPr>
      <w:r w:rsidRPr="0089662C">
        <w:rPr>
          <w:rFonts w:eastAsia="Calibri" w:cs="Arial"/>
          <w:lang w:eastAsia="en-US"/>
        </w:rPr>
        <w:t xml:space="preserve">Los estadios de maduración preferidos por los consumidores para la compra de esta fruta son el 2 y 3. En el estudio realizado por </w:t>
      </w:r>
      <w:proofErr w:type="spellStart"/>
      <w:r w:rsidRPr="0089662C">
        <w:rPr>
          <w:rFonts w:eastAsia="Calibri" w:cs="Arial"/>
          <w:lang w:eastAsia="en-US"/>
        </w:rPr>
        <w:t>Sond</w:t>
      </w:r>
      <w:proofErr w:type="spellEnd"/>
      <w:r w:rsidRPr="0089662C">
        <w:rPr>
          <w:rFonts w:eastAsia="Calibri" w:cs="Arial"/>
          <w:lang w:eastAsia="en-US"/>
        </w:rPr>
        <w:t xml:space="preserve"> et al. (2018) los consumidores de supermercados relataron preferir frutos en los estadios de maduración entre 1 y 3. El color de la cascara es la característica más utilizada para evaluar el estado de maduración de las frutas de la papaya. Las recomendaciones para la cosecha se apoyan en el cambio del color verde oscuro a verde claro y la aparición de tonos amarillos en el extremo distal.</w:t>
      </w:r>
    </w:p>
    <w:p w:rsidR="0089662C" w:rsidRPr="0089662C" w:rsidRDefault="0089662C" w:rsidP="0089662C">
      <w:pPr>
        <w:spacing w:before="0" w:after="0"/>
        <w:rPr>
          <w:rFonts w:cs="Arial"/>
          <w:b/>
          <w:bCs/>
          <w:lang w:eastAsia="pt-PT"/>
        </w:rPr>
      </w:pPr>
      <w:r w:rsidRPr="0089662C">
        <w:rPr>
          <w:rFonts w:cs="Arial"/>
          <w:b/>
          <w:bCs/>
          <w:lang w:eastAsia="pt-PT"/>
        </w:rPr>
        <w:t>pH</w:t>
      </w:r>
    </w:p>
    <w:p w:rsidR="0089662C" w:rsidRPr="0089662C" w:rsidRDefault="0089662C" w:rsidP="0089662C">
      <w:pPr>
        <w:spacing w:before="0" w:after="0"/>
        <w:rPr>
          <w:rFonts w:eastAsia="Calibri" w:cs="Arial"/>
          <w:lang w:eastAsia="en-US"/>
        </w:rPr>
      </w:pPr>
      <w:r w:rsidRPr="0089662C">
        <w:rPr>
          <w:rFonts w:cs="Arial"/>
          <w:bCs/>
          <w:lang w:eastAsia="pt-PT"/>
        </w:rPr>
        <w:t xml:space="preserve">De acuerdo con la tabla 5 las muestras control en todo el periodo de almacenamiento tuvo un aumento del pH y en las muestras con cobertura una disminución del pH. </w:t>
      </w:r>
      <w:r w:rsidRPr="0089662C">
        <w:rPr>
          <w:rFonts w:eastAsia="Calibri" w:cs="Arial"/>
          <w:lang w:eastAsia="en-US"/>
        </w:rPr>
        <w:t xml:space="preserve">Pinto </w:t>
      </w:r>
      <w:r w:rsidRPr="0089662C">
        <w:rPr>
          <w:rFonts w:eastAsia="Calibri" w:cs="Arial"/>
          <w:i/>
          <w:lang w:eastAsia="en-US"/>
        </w:rPr>
        <w:t>et al</w:t>
      </w:r>
      <w:r w:rsidRPr="0089662C">
        <w:rPr>
          <w:rFonts w:eastAsia="Calibri" w:cs="Arial"/>
          <w:lang w:eastAsia="en-US"/>
        </w:rPr>
        <w:t xml:space="preserve">. (2016) explican que la razón del aumento de la acidez titulable simultáneamente con la disminución del pH puede ser debido a la mayor actividad metabólica en el pico climatérico característico de la fruta bomba, lo que llevaría la síntesis de ácidos orgánicos de la fruta y que mayores valores de pH se deben probablemente a la reducción de la actividad metabólica durante el climaterio.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309"/>
        <w:gridCol w:w="1027"/>
        <w:gridCol w:w="1081"/>
        <w:gridCol w:w="1191"/>
        <w:gridCol w:w="1189"/>
        <w:gridCol w:w="1862"/>
      </w:tblGrid>
      <w:tr w:rsidR="0089662C" w:rsidRPr="0072737C" w:rsidTr="00D05D7E">
        <w:trPr>
          <w:jc w:val="center"/>
        </w:trPr>
        <w:tc>
          <w:tcPr>
            <w:tcW w:w="5000" w:type="pct"/>
            <w:gridSpan w:val="7"/>
            <w:tcBorders>
              <w:top w:val="nil"/>
              <w:left w:val="nil"/>
              <w:bottom w:val="single" w:sz="4" w:space="0" w:color="auto"/>
              <w:right w:val="nil"/>
            </w:tcBorders>
            <w:shd w:val="clear" w:color="auto" w:fill="auto"/>
          </w:tcPr>
          <w:p w:rsidR="0089662C" w:rsidRPr="0072737C" w:rsidRDefault="0089662C" w:rsidP="0072737C">
            <w:pPr>
              <w:spacing w:before="0" w:after="0" w:line="240" w:lineRule="auto"/>
              <w:rPr>
                <w:rFonts w:eastAsia="Calibri" w:cs="Arial"/>
                <w:sz w:val="22"/>
                <w:lang w:eastAsia="en-US"/>
              </w:rPr>
            </w:pPr>
            <w:r w:rsidRPr="0072737C">
              <w:rPr>
                <w:rFonts w:eastAsia="Calibri" w:cs="Arial"/>
                <w:sz w:val="22"/>
                <w:lang w:eastAsia="en-US"/>
              </w:rPr>
              <w:t>Tabla 5: Valores de pH de la papaya con y sin revestimiento con almidón de yuca</w:t>
            </w:r>
          </w:p>
        </w:tc>
      </w:tr>
      <w:tr w:rsidR="0089662C" w:rsidRPr="0072737C" w:rsidTr="00D05D7E">
        <w:trPr>
          <w:trHeight w:val="120"/>
          <w:jc w:val="center"/>
        </w:trPr>
        <w:tc>
          <w:tcPr>
            <w:tcW w:w="928" w:type="pct"/>
            <w:vMerge w:val="restart"/>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Tratamientos</w:t>
            </w:r>
          </w:p>
        </w:tc>
        <w:tc>
          <w:tcPr>
            <w:tcW w:w="696" w:type="pct"/>
            <w:vMerge w:val="restar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pH medio inicial</w:t>
            </w:r>
          </w:p>
        </w:tc>
        <w:tc>
          <w:tcPr>
            <w:tcW w:w="3376" w:type="pct"/>
            <w:gridSpan w:val="5"/>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 xml:space="preserve">Días de las muestras </w:t>
            </w:r>
          </w:p>
        </w:tc>
      </w:tr>
      <w:tr w:rsidR="0089662C" w:rsidRPr="0072737C" w:rsidTr="00D05D7E">
        <w:trPr>
          <w:trHeight w:val="120"/>
          <w:jc w:val="center"/>
        </w:trPr>
        <w:tc>
          <w:tcPr>
            <w:tcW w:w="928" w:type="pct"/>
            <w:vMerge/>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p>
        </w:tc>
        <w:tc>
          <w:tcPr>
            <w:tcW w:w="696" w:type="pct"/>
            <w:vMerge/>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vertAlign w:val="superscript"/>
                <w:lang w:eastAsia="en-US"/>
              </w:rPr>
            </w:pPr>
          </w:p>
        </w:tc>
        <w:tc>
          <w:tcPr>
            <w:tcW w:w="54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 días</w:t>
            </w:r>
          </w:p>
        </w:tc>
        <w:tc>
          <w:tcPr>
            <w:tcW w:w="575"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8 días</w:t>
            </w:r>
          </w:p>
        </w:tc>
        <w:tc>
          <w:tcPr>
            <w:tcW w:w="633"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12 días</w:t>
            </w:r>
          </w:p>
        </w:tc>
        <w:tc>
          <w:tcPr>
            <w:tcW w:w="632"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16 días</w:t>
            </w:r>
          </w:p>
        </w:tc>
        <w:tc>
          <w:tcPr>
            <w:tcW w:w="990" w:type="pct"/>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Media ± S</w:t>
            </w:r>
          </w:p>
        </w:tc>
      </w:tr>
      <w:tr w:rsidR="0089662C" w:rsidRPr="0072737C" w:rsidTr="00D05D7E">
        <w:trPr>
          <w:jc w:val="center"/>
        </w:trPr>
        <w:tc>
          <w:tcPr>
            <w:tcW w:w="928" w:type="pct"/>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A</w:t>
            </w:r>
          </w:p>
        </w:tc>
        <w:tc>
          <w:tcPr>
            <w:tcW w:w="69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5,40</w:t>
            </w:r>
          </w:p>
        </w:tc>
        <w:tc>
          <w:tcPr>
            <w:tcW w:w="54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5,65</w:t>
            </w:r>
          </w:p>
        </w:tc>
        <w:tc>
          <w:tcPr>
            <w:tcW w:w="575"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5,85</w:t>
            </w:r>
          </w:p>
        </w:tc>
        <w:tc>
          <w:tcPr>
            <w:tcW w:w="633"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5,90</w:t>
            </w:r>
          </w:p>
        </w:tc>
        <w:tc>
          <w:tcPr>
            <w:tcW w:w="632"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6,20</w:t>
            </w:r>
          </w:p>
        </w:tc>
        <w:tc>
          <w:tcPr>
            <w:tcW w:w="990" w:type="pct"/>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5,90 ± 0,2 c</w:t>
            </w:r>
          </w:p>
        </w:tc>
      </w:tr>
      <w:tr w:rsidR="0089662C" w:rsidRPr="0072737C" w:rsidTr="00D05D7E">
        <w:trPr>
          <w:jc w:val="center"/>
        </w:trPr>
        <w:tc>
          <w:tcPr>
            <w:tcW w:w="928" w:type="pct"/>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B</w:t>
            </w:r>
          </w:p>
        </w:tc>
        <w:tc>
          <w:tcPr>
            <w:tcW w:w="69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4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5,35</w:t>
            </w:r>
          </w:p>
        </w:tc>
        <w:tc>
          <w:tcPr>
            <w:tcW w:w="575"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5,20</w:t>
            </w:r>
          </w:p>
        </w:tc>
        <w:tc>
          <w:tcPr>
            <w:tcW w:w="633"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5,15</w:t>
            </w:r>
          </w:p>
        </w:tc>
        <w:tc>
          <w:tcPr>
            <w:tcW w:w="632"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5,30</w:t>
            </w:r>
          </w:p>
        </w:tc>
        <w:tc>
          <w:tcPr>
            <w:tcW w:w="990" w:type="pct"/>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5,20 ± 0,1 b</w:t>
            </w:r>
          </w:p>
        </w:tc>
      </w:tr>
      <w:tr w:rsidR="0089662C" w:rsidRPr="0072737C" w:rsidTr="00D05D7E">
        <w:trPr>
          <w:jc w:val="center"/>
        </w:trPr>
        <w:tc>
          <w:tcPr>
            <w:tcW w:w="928" w:type="pct"/>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C</w:t>
            </w:r>
          </w:p>
        </w:tc>
        <w:tc>
          <w:tcPr>
            <w:tcW w:w="69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4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5,34</w:t>
            </w:r>
          </w:p>
        </w:tc>
        <w:tc>
          <w:tcPr>
            <w:tcW w:w="575"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5,08</w:t>
            </w:r>
          </w:p>
        </w:tc>
        <w:tc>
          <w:tcPr>
            <w:tcW w:w="633"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4,92</w:t>
            </w:r>
          </w:p>
        </w:tc>
        <w:tc>
          <w:tcPr>
            <w:tcW w:w="632"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5,02</w:t>
            </w:r>
          </w:p>
        </w:tc>
        <w:tc>
          <w:tcPr>
            <w:tcW w:w="990" w:type="pct"/>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5,09 ± 0,1 ab</w:t>
            </w:r>
          </w:p>
        </w:tc>
      </w:tr>
      <w:tr w:rsidR="0089662C" w:rsidRPr="0072737C" w:rsidTr="00D05D7E">
        <w:trPr>
          <w:jc w:val="center"/>
        </w:trPr>
        <w:tc>
          <w:tcPr>
            <w:tcW w:w="928" w:type="pct"/>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D</w:t>
            </w:r>
          </w:p>
        </w:tc>
        <w:tc>
          <w:tcPr>
            <w:tcW w:w="69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4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5,03</w:t>
            </w:r>
          </w:p>
        </w:tc>
        <w:tc>
          <w:tcPr>
            <w:tcW w:w="575"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4,95</w:t>
            </w:r>
          </w:p>
        </w:tc>
        <w:tc>
          <w:tcPr>
            <w:tcW w:w="633"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4,60</w:t>
            </w:r>
          </w:p>
        </w:tc>
        <w:tc>
          <w:tcPr>
            <w:tcW w:w="632"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4,80</w:t>
            </w:r>
          </w:p>
        </w:tc>
        <w:tc>
          <w:tcPr>
            <w:tcW w:w="990" w:type="pct"/>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4,80 ± 0,1 a</w:t>
            </w:r>
          </w:p>
        </w:tc>
      </w:tr>
      <w:tr w:rsidR="0089662C" w:rsidRPr="0072737C" w:rsidTr="00D05D7E">
        <w:trPr>
          <w:jc w:val="center"/>
        </w:trPr>
        <w:tc>
          <w:tcPr>
            <w:tcW w:w="928" w:type="pct"/>
            <w:tcBorders>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proofErr w:type="spellStart"/>
            <w:r w:rsidRPr="0072737C">
              <w:rPr>
                <w:rFonts w:eastAsia="Calibri" w:cs="Arial"/>
                <w:sz w:val="22"/>
                <w:lang w:eastAsia="en-US"/>
              </w:rPr>
              <w:t>Esx</w:t>
            </w:r>
            <w:proofErr w:type="spellEnd"/>
          </w:p>
        </w:tc>
        <w:tc>
          <w:tcPr>
            <w:tcW w:w="69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46"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75"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633"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632" w:type="pct"/>
            <w:tcBorders>
              <w:left w:val="nil"/>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990" w:type="pct"/>
            <w:tcBorders>
              <w:lef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0,108</w:t>
            </w:r>
          </w:p>
        </w:tc>
      </w:tr>
      <w:tr w:rsidR="0089662C" w:rsidRPr="0072737C" w:rsidTr="00D05D7E">
        <w:trPr>
          <w:jc w:val="center"/>
        </w:trPr>
        <w:tc>
          <w:tcPr>
            <w:tcW w:w="928" w:type="pct"/>
            <w:tcBorders>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CV (%)</w:t>
            </w:r>
          </w:p>
        </w:tc>
        <w:tc>
          <w:tcPr>
            <w:tcW w:w="696" w:type="pc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46" w:type="pc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575" w:type="pc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633" w:type="pc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632" w:type="pct"/>
            <w:tcBorders>
              <w:left w:val="nil"/>
              <w:bottom w:val="single" w:sz="4" w:space="0" w:color="auto"/>
              <w:right w:val="nil"/>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w:t>
            </w:r>
          </w:p>
        </w:tc>
        <w:tc>
          <w:tcPr>
            <w:tcW w:w="990" w:type="pct"/>
            <w:tcBorders>
              <w:left w:val="nil"/>
              <w:bottom w:val="single" w:sz="4" w:space="0" w:color="auto"/>
            </w:tcBorders>
            <w:shd w:val="clear" w:color="auto" w:fill="auto"/>
            <w:vAlign w:val="center"/>
          </w:tcPr>
          <w:p w:rsidR="0089662C" w:rsidRPr="0072737C" w:rsidRDefault="0089662C" w:rsidP="0072737C">
            <w:pPr>
              <w:spacing w:before="0" w:after="0" w:line="240" w:lineRule="auto"/>
              <w:jc w:val="center"/>
              <w:rPr>
                <w:rFonts w:eastAsia="Calibri" w:cs="Arial"/>
                <w:sz w:val="22"/>
                <w:lang w:eastAsia="en-US"/>
              </w:rPr>
            </w:pPr>
            <w:r w:rsidRPr="0072737C">
              <w:rPr>
                <w:rFonts w:eastAsia="Calibri" w:cs="Arial"/>
                <w:sz w:val="22"/>
                <w:lang w:eastAsia="en-US"/>
              </w:rPr>
              <w:t>15,3</w:t>
            </w:r>
          </w:p>
        </w:tc>
      </w:tr>
      <w:tr w:rsidR="0089662C" w:rsidRPr="0072737C" w:rsidTr="00D05D7E">
        <w:trPr>
          <w:jc w:val="center"/>
        </w:trPr>
        <w:tc>
          <w:tcPr>
            <w:tcW w:w="5000" w:type="pct"/>
            <w:gridSpan w:val="7"/>
            <w:tcBorders>
              <w:left w:val="nil"/>
              <w:bottom w:val="nil"/>
              <w:right w:val="nil"/>
            </w:tcBorders>
            <w:shd w:val="clear" w:color="auto" w:fill="auto"/>
          </w:tcPr>
          <w:p w:rsidR="0089662C" w:rsidRPr="0072737C" w:rsidRDefault="0089662C" w:rsidP="0072737C">
            <w:pPr>
              <w:spacing w:before="0" w:after="0" w:line="240" w:lineRule="auto"/>
              <w:rPr>
                <w:rFonts w:eastAsia="Calibri" w:cs="Arial"/>
                <w:i/>
                <w:sz w:val="22"/>
                <w:lang w:eastAsia="en-US"/>
              </w:rPr>
            </w:pPr>
            <w:r w:rsidRPr="0072737C">
              <w:rPr>
                <w:rFonts w:eastAsia="Calibri" w:cs="Arial"/>
                <w:i/>
                <w:sz w:val="22"/>
                <w:lang w:eastAsia="en-US"/>
              </w:rPr>
              <w:t xml:space="preserve">Letras no comunes difieren según la prueba de rangos múltiples de </w:t>
            </w:r>
            <w:proofErr w:type="spellStart"/>
            <w:r w:rsidRPr="0072737C">
              <w:rPr>
                <w:rFonts w:eastAsia="Calibri" w:cs="Arial"/>
                <w:i/>
                <w:sz w:val="22"/>
                <w:lang w:eastAsia="en-US"/>
              </w:rPr>
              <w:t>Tukey</w:t>
            </w:r>
            <w:proofErr w:type="spellEnd"/>
            <w:r w:rsidRPr="0072737C">
              <w:rPr>
                <w:rFonts w:eastAsia="Calibri" w:cs="Arial"/>
                <w:i/>
                <w:sz w:val="22"/>
                <w:lang w:eastAsia="en-US"/>
              </w:rPr>
              <w:t xml:space="preserve"> (p ≤ 0,05.</w:t>
            </w:r>
          </w:p>
        </w:tc>
      </w:tr>
    </w:tbl>
    <w:p w:rsidR="0089662C" w:rsidRPr="0089662C" w:rsidRDefault="0089662C" w:rsidP="0089662C">
      <w:pPr>
        <w:spacing w:before="0" w:after="160"/>
        <w:rPr>
          <w:rFonts w:eastAsia="Calibri" w:cs="Arial"/>
          <w:lang w:eastAsia="en-US"/>
        </w:rPr>
      </w:pPr>
      <w:r w:rsidRPr="0089662C">
        <w:rPr>
          <w:rFonts w:eastAsia="Calibri" w:cs="Arial"/>
          <w:lang w:eastAsia="en-US"/>
        </w:rPr>
        <w:lastRenderedPageBreak/>
        <w:t>Los aumentos de pH ocurridos a lo largo del almacenamiento son atribuidos al contenido de ácido orgánico que, normalmente, disminuyen con la maduración como resultado del proceso respiratorio o de su conversión en azucares, además de la ocurrencia de algunas actuaciones como precursores del ciclo de Krebs, donde sufren procesos oxidativos, principalmente cuando estos lleguen a la completa maduración (</w:t>
      </w:r>
      <w:proofErr w:type="spellStart"/>
      <w:r w:rsidRPr="0089662C">
        <w:rPr>
          <w:rFonts w:eastAsia="Calibri" w:cs="Arial"/>
          <w:lang w:eastAsia="en-US"/>
        </w:rPr>
        <w:t>Podshivalov</w:t>
      </w:r>
      <w:proofErr w:type="spellEnd"/>
      <w:r w:rsidRPr="0089662C">
        <w:rPr>
          <w:rFonts w:eastAsia="Calibri" w:cs="Arial"/>
          <w:lang w:eastAsia="en-US"/>
        </w:rPr>
        <w:t xml:space="preserve"> </w:t>
      </w:r>
      <w:r w:rsidRPr="0089662C">
        <w:rPr>
          <w:rFonts w:eastAsia="Calibri" w:cs="Arial"/>
          <w:i/>
          <w:lang w:eastAsia="en-US"/>
        </w:rPr>
        <w:t>et al</w:t>
      </w:r>
      <w:r w:rsidRPr="0089662C">
        <w:rPr>
          <w:rFonts w:eastAsia="Calibri" w:cs="Arial"/>
          <w:lang w:eastAsia="en-US"/>
        </w:rPr>
        <w:t xml:space="preserve">., 2017). Según estos autores, con la maduración, las frutas pierden rápidamente la acidez, más, en algunos casos, hay un pequeño aumento en los valores con el avance de la maduración; lo que justifica las oscilaciones de pH ocurridas en los tratamientos con revestimiento.   </w:t>
      </w:r>
    </w:p>
    <w:p w:rsidR="0089662C" w:rsidRPr="0089662C" w:rsidRDefault="0089662C" w:rsidP="0089662C">
      <w:pPr>
        <w:spacing w:before="0" w:after="160"/>
        <w:jc w:val="left"/>
        <w:rPr>
          <w:rFonts w:eastAsia="Calibri" w:cs="Arial"/>
          <w:b/>
          <w:lang w:eastAsia="en-US"/>
        </w:rPr>
      </w:pPr>
      <w:r w:rsidRPr="0089662C">
        <w:rPr>
          <w:rFonts w:eastAsia="Calibri" w:cs="Arial"/>
          <w:b/>
          <w:lang w:eastAsia="en-US"/>
        </w:rPr>
        <w:t>Sólidos solubles (SS)</w:t>
      </w:r>
    </w:p>
    <w:p w:rsidR="0089662C" w:rsidRPr="0089662C" w:rsidRDefault="0089662C" w:rsidP="0089662C">
      <w:pPr>
        <w:spacing w:before="0" w:after="160"/>
        <w:rPr>
          <w:rFonts w:eastAsia="Calibri" w:cs="Arial"/>
          <w:lang w:eastAsia="en-US"/>
        </w:rPr>
      </w:pPr>
      <w:r w:rsidRPr="0089662C">
        <w:rPr>
          <w:rFonts w:eastAsia="Calibri" w:cs="Arial"/>
          <w:lang w:eastAsia="en-US"/>
        </w:rPr>
        <w:t>Los SS, son indicativos del contenido de la acumulación de azucares durante la maduración. Con la maduración el contenido de sólidos solubles (SS) tiende a aumentar (</w:t>
      </w:r>
      <w:proofErr w:type="spellStart"/>
      <w:r w:rsidRPr="0089662C">
        <w:rPr>
          <w:rFonts w:eastAsia="Calibri" w:cs="Arial"/>
          <w:lang w:eastAsia="en-US"/>
        </w:rPr>
        <w:t>Song</w:t>
      </w:r>
      <w:proofErr w:type="spellEnd"/>
      <w:r w:rsidRPr="0089662C">
        <w:rPr>
          <w:rFonts w:eastAsia="Calibri" w:cs="Arial"/>
          <w:lang w:eastAsia="en-US"/>
        </w:rPr>
        <w:t xml:space="preserve"> </w:t>
      </w:r>
      <w:r w:rsidRPr="0089662C">
        <w:rPr>
          <w:rFonts w:eastAsia="Calibri" w:cs="Arial"/>
          <w:i/>
          <w:lang w:eastAsia="en-US"/>
        </w:rPr>
        <w:t>et al</w:t>
      </w:r>
      <w:r w:rsidRPr="0089662C">
        <w:rPr>
          <w:rFonts w:eastAsia="Calibri" w:cs="Arial"/>
          <w:lang w:eastAsia="en-US"/>
        </w:rPr>
        <w:t>., 2018). Este comportamiento se observó en la muestra control, variando de forma discreta (tabla 6). Puede ocurrir un decrecimiento en los sólidos solubles durante el almacenamiento, que se justifica por el consumo de substratos en el metabolismo respiratorio de la fruta. Las frutas recubiertas con filmes presentaron menores contenidos de sólidos solubles que los frutos control durante todo el periodo evaluado (días de almacenamiento).</w:t>
      </w:r>
      <w:r w:rsidR="00F31D6A">
        <w:rPr>
          <w:rFonts w:eastAsia="Calibri" w:cs="Arial"/>
          <w:lang w:eastAsia="en-US"/>
        </w:rPr>
        <w:t xml:space="preserve"> </w:t>
      </w:r>
      <w:r w:rsidRPr="0089662C">
        <w:rPr>
          <w:rFonts w:eastAsia="Calibri" w:cs="Arial"/>
          <w:lang w:eastAsia="en-US"/>
        </w:rPr>
        <w:t xml:space="preserve">Similar comportamiento fue observado por </w:t>
      </w:r>
      <w:proofErr w:type="spellStart"/>
      <w:r w:rsidRPr="0089662C">
        <w:rPr>
          <w:rFonts w:eastAsia="Calibri" w:cs="Arial"/>
          <w:lang w:eastAsia="en-US"/>
        </w:rPr>
        <w:t>Castricini</w:t>
      </w:r>
      <w:proofErr w:type="spellEnd"/>
      <w:r w:rsidRPr="0089662C">
        <w:rPr>
          <w:rFonts w:eastAsia="Calibri" w:cs="Arial"/>
          <w:lang w:eastAsia="en-US"/>
        </w:rPr>
        <w:t xml:space="preserve">, (2019) en muestras de control de papaya con biofilmes de almidón de yuca al 3 % por igual periodo y almacenadas a temperatura ambiente y de refrigeración a 12 </w:t>
      </w:r>
      <w:proofErr w:type="spellStart"/>
      <w:r w:rsidRPr="0089662C">
        <w:rPr>
          <w:rFonts w:eastAsia="Calibri" w:cs="Arial"/>
          <w:lang w:eastAsia="en-US"/>
        </w:rPr>
        <w:t>ºC</w:t>
      </w:r>
      <w:proofErr w:type="spellEnd"/>
      <w:r w:rsidRPr="0089662C">
        <w:rPr>
          <w:rFonts w:eastAsia="Calibri" w:cs="Arial"/>
          <w:lang w:eastAsia="en-US"/>
        </w:rPr>
        <w:t xml:space="preserve">. </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817"/>
        <w:gridCol w:w="767"/>
        <w:gridCol w:w="767"/>
        <w:gridCol w:w="767"/>
        <w:gridCol w:w="767"/>
        <w:gridCol w:w="1627"/>
        <w:gridCol w:w="2626"/>
      </w:tblGrid>
      <w:tr w:rsidR="0089662C" w:rsidRPr="00F31D6A" w:rsidTr="00860A99">
        <w:tc>
          <w:tcPr>
            <w:tcW w:w="5000" w:type="pct"/>
            <w:gridSpan w:val="8"/>
            <w:tcBorders>
              <w:top w:val="nil"/>
              <w:left w:val="nil"/>
              <w:bottom w:val="single" w:sz="4" w:space="0" w:color="auto"/>
              <w:right w:val="nil"/>
            </w:tcBorders>
            <w:shd w:val="clear" w:color="auto" w:fill="auto"/>
          </w:tcPr>
          <w:p w:rsidR="0089662C" w:rsidRPr="00F31D6A" w:rsidRDefault="0089662C" w:rsidP="00F31D6A">
            <w:pPr>
              <w:spacing w:before="0" w:after="0" w:line="240" w:lineRule="auto"/>
              <w:rPr>
                <w:rFonts w:eastAsia="Calibri" w:cs="Arial"/>
                <w:sz w:val="22"/>
                <w:lang w:eastAsia="en-US"/>
              </w:rPr>
            </w:pPr>
            <w:bookmarkStart w:id="1" w:name="_Hlk534139102"/>
            <w:r w:rsidRPr="00F31D6A">
              <w:rPr>
                <w:rFonts w:eastAsia="Calibri" w:cs="Arial"/>
                <w:sz w:val="22"/>
                <w:lang w:eastAsia="en-US"/>
              </w:rPr>
              <w:t>Tabla 6: Valores de sólidos solubles de la papaya con y sin revestimiento con almidón de yuca</w:t>
            </w:r>
          </w:p>
        </w:tc>
      </w:tr>
      <w:tr w:rsidR="00F31D6A" w:rsidRPr="00F31D6A" w:rsidTr="00860A99">
        <w:trPr>
          <w:trHeight w:val="120"/>
        </w:trPr>
        <w:tc>
          <w:tcPr>
            <w:tcW w:w="778" w:type="pct"/>
            <w:vMerge w:val="restart"/>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Tratamientos</w:t>
            </w:r>
          </w:p>
        </w:tc>
        <w:tc>
          <w:tcPr>
            <w:tcW w:w="424" w:type="pct"/>
            <w:vMerge w:val="restar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vertAlign w:val="superscript"/>
                <w:lang w:eastAsia="en-US"/>
              </w:rPr>
              <w:t>0</w:t>
            </w:r>
            <w:r w:rsidRPr="00F31D6A">
              <w:rPr>
                <w:rFonts w:eastAsia="Calibri" w:cs="Arial"/>
                <w:sz w:val="22"/>
                <w:lang w:eastAsia="en-US"/>
              </w:rPr>
              <w:t>Brix medio inicial</w:t>
            </w:r>
          </w:p>
        </w:tc>
        <w:tc>
          <w:tcPr>
            <w:tcW w:w="2436" w:type="pct"/>
            <w:gridSpan w:val="5"/>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Días de la muestra</w:t>
            </w:r>
          </w:p>
        </w:tc>
        <w:tc>
          <w:tcPr>
            <w:tcW w:w="1362" w:type="pct"/>
            <w:vMerge w:val="restart"/>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Modelo ajustado</w:t>
            </w:r>
          </w:p>
          <w:p w:rsidR="00F31D6A" w:rsidRPr="00F31D6A" w:rsidRDefault="00F31D6A" w:rsidP="00F31D6A">
            <w:pPr>
              <w:spacing w:before="0" w:after="0" w:line="240" w:lineRule="auto"/>
              <w:jc w:val="center"/>
              <w:rPr>
                <w:rFonts w:eastAsia="Calibri" w:cs="Arial"/>
                <w:sz w:val="22"/>
                <w:vertAlign w:val="superscript"/>
                <w:lang w:eastAsia="en-US"/>
              </w:rPr>
            </w:pPr>
            <w:r w:rsidRPr="00F31D6A">
              <w:rPr>
                <w:rFonts w:eastAsia="Calibri" w:cs="Arial"/>
                <w:sz w:val="22"/>
                <w:lang w:eastAsia="en-US"/>
              </w:rPr>
              <w:t xml:space="preserve">(y = a + </w:t>
            </w:r>
            <w:proofErr w:type="spellStart"/>
            <w:r w:rsidRPr="00F31D6A">
              <w:rPr>
                <w:rFonts w:eastAsia="Calibri" w:cs="Arial"/>
                <w:sz w:val="22"/>
                <w:lang w:eastAsia="en-US"/>
              </w:rPr>
              <w:t>bx</w:t>
            </w:r>
            <w:proofErr w:type="spellEnd"/>
            <w:r w:rsidRPr="00F31D6A">
              <w:rPr>
                <w:rFonts w:eastAsia="Calibri" w:cs="Arial"/>
                <w:sz w:val="22"/>
                <w:lang w:eastAsia="en-US"/>
              </w:rPr>
              <w:t>)</w:t>
            </w:r>
          </w:p>
        </w:tc>
      </w:tr>
      <w:tr w:rsidR="00F31D6A" w:rsidRPr="00F31D6A" w:rsidTr="00860A99">
        <w:trPr>
          <w:trHeight w:val="120"/>
        </w:trPr>
        <w:tc>
          <w:tcPr>
            <w:tcW w:w="778" w:type="pct"/>
            <w:vMerge/>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p>
        </w:tc>
        <w:tc>
          <w:tcPr>
            <w:tcW w:w="424" w:type="pct"/>
            <w:vMerge/>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vertAlign w:val="superscript"/>
                <w:lang w:eastAsia="en-US"/>
              </w:rPr>
            </w:pP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4 días</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8 días</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 días</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16 días</w:t>
            </w:r>
          </w:p>
        </w:tc>
        <w:tc>
          <w:tcPr>
            <w:tcW w:w="84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Media</w:t>
            </w:r>
          </w:p>
        </w:tc>
        <w:tc>
          <w:tcPr>
            <w:tcW w:w="1362" w:type="pct"/>
            <w:vMerge/>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p>
        </w:tc>
      </w:tr>
      <w:tr w:rsidR="00F31D6A" w:rsidRPr="00F31D6A" w:rsidTr="00860A99">
        <w:tc>
          <w:tcPr>
            <w:tcW w:w="778" w:type="pct"/>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A</w:t>
            </w:r>
          </w:p>
        </w:tc>
        <w:tc>
          <w:tcPr>
            <w:tcW w:w="42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12,1</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12,58</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12,85</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13,20</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14,80</w:t>
            </w:r>
          </w:p>
        </w:tc>
        <w:tc>
          <w:tcPr>
            <w:tcW w:w="84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13,35 ± 0,6 b</w:t>
            </w:r>
          </w:p>
        </w:tc>
        <w:tc>
          <w:tcPr>
            <w:tcW w:w="1362" w:type="pct"/>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SS = 11,60 + 0,701x</w:t>
            </w:r>
          </w:p>
        </w:tc>
      </w:tr>
      <w:tr w:rsidR="00F31D6A" w:rsidRPr="00F31D6A" w:rsidTr="00860A99">
        <w:tc>
          <w:tcPr>
            <w:tcW w:w="778" w:type="pct"/>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B</w:t>
            </w:r>
          </w:p>
        </w:tc>
        <w:tc>
          <w:tcPr>
            <w:tcW w:w="42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12,12</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11,50</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11,80</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12,30</w:t>
            </w:r>
          </w:p>
        </w:tc>
        <w:tc>
          <w:tcPr>
            <w:tcW w:w="84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11,93 ± 0,3 a</w:t>
            </w:r>
          </w:p>
        </w:tc>
        <w:tc>
          <w:tcPr>
            <w:tcW w:w="1362" w:type="pct"/>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SS = 11,72 + 0,084x</w:t>
            </w:r>
          </w:p>
        </w:tc>
      </w:tr>
      <w:tr w:rsidR="00F31D6A" w:rsidRPr="00F31D6A" w:rsidTr="00860A99">
        <w:tc>
          <w:tcPr>
            <w:tcW w:w="778" w:type="pct"/>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C</w:t>
            </w:r>
          </w:p>
        </w:tc>
        <w:tc>
          <w:tcPr>
            <w:tcW w:w="42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13,20</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12,75</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12,30</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12,10</w:t>
            </w:r>
          </w:p>
        </w:tc>
        <w:tc>
          <w:tcPr>
            <w:tcW w:w="84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12,58 ± 0,4 ab</w:t>
            </w:r>
          </w:p>
        </w:tc>
        <w:tc>
          <w:tcPr>
            <w:tcW w:w="1362" w:type="pct"/>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SS =13,52 - 0,375x</w:t>
            </w:r>
          </w:p>
        </w:tc>
      </w:tr>
      <w:tr w:rsidR="00F31D6A" w:rsidRPr="00F31D6A" w:rsidTr="00860A99">
        <w:tc>
          <w:tcPr>
            <w:tcW w:w="778" w:type="pct"/>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D</w:t>
            </w:r>
          </w:p>
        </w:tc>
        <w:tc>
          <w:tcPr>
            <w:tcW w:w="42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12,80</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12,55</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12,41</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12,05</w:t>
            </w:r>
          </w:p>
        </w:tc>
        <w:tc>
          <w:tcPr>
            <w:tcW w:w="84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12,42 ± 0,5 ab</w:t>
            </w:r>
          </w:p>
        </w:tc>
        <w:tc>
          <w:tcPr>
            <w:tcW w:w="1362" w:type="pct"/>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SS = 13,05 - 0,25x</w:t>
            </w:r>
          </w:p>
        </w:tc>
      </w:tr>
      <w:tr w:rsidR="00F31D6A" w:rsidRPr="00F31D6A" w:rsidTr="00860A99">
        <w:tc>
          <w:tcPr>
            <w:tcW w:w="778" w:type="pct"/>
            <w:tcBorders>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proofErr w:type="spellStart"/>
            <w:r w:rsidRPr="00F31D6A">
              <w:rPr>
                <w:rFonts w:eastAsia="Calibri" w:cs="Arial"/>
                <w:sz w:val="22"/>
                <w:lang w:eastAsia="en-US"/>
              </w:rPr>
              <w:t>Esx</w:t>
            </w:r>
            <w:proofErr w:type="spellEnd"/>
          </w:p>
        </w:tc>
        <w:tc>
          <w:tcPr>
            <w:tcW w:w="42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844" w:type="pct"/>
            <w:tcBorders>
              <w:left w:val="nil"/>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0,189</w:t>
            </w:r>
          </w:p>
        </w:tc>
        <w:tc>
          <w:tcPr>
            <w:tcW w:w="1362" w:type="pct"/>
            <w:tcBorders>
              <w:lef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r>
      <w:tr w:rsidR="00F31D6A" w:rsidRPr="00F31D6A" w:rsidTr="00860A99">
        <w:tc>
          <w:tcPr>
            <w:tcW w:w="778" w:type="pct"/>
            <w:tcBorders>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CV (%)</w:t>
            </w:r>
          </w:p>
        </w:tc>
        <w:tc>
          <w:tcPr>
            <w:tcW w:w="424" w:type="pct"/>
            <w:tcBorders>
              <w:left w:val="nil"/>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398" w:type="pct"/>
            <w:tcBorders>
              <w:left w:val="nil"/>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c>
          <w:tcPr>
            <w:tcW w:w="844" w:type="pct"/>
            <w:tcBorders>
              <w:left w:val="nil"/>
              <w:bottom w:val="single" w:sz="4" w:space="0" w:color="auto"/>
              <w:right w:val="nil"/>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17,6</w:t>
            </w:r>
          </w:p>
        </w:tc>
        <w:tc>
          <w:tcPr>
            <w:tcW w:w="1362" w:type="pct"/>
            <w:tcBorders>
              <w:left w:val="nil"/>
              <w:bottom w:val="single" w:sz="4" w:space="0" w:color="auto"/>
            </w:tcBorders>
            <w:shd w:val="clear" w:color="auto" w:fill="auto"/>
            <w:vAlign w:val="center"/>
          </w:tcPr>
          <w:p w:rsidR="00F31D6A" w:rsidRPr="00F31D6A" w:rsidRDefault="00F31D6A" w:rsidP="00F31D6A">
            <w:pPr>
              <w:spacing w:before="0" w:after="0" w:line="240" w:lineRule="auto"/>
              <w:jc w:val="center"/>
              <w:rPr>
                <w:rFonts w:eastAsia="Calibri" w:cs="Arial"/>
                <w:sz w:val="22"/>
                <w:lang w:eastAsia="en-US"/>
              </w:rPr>
            </w:pPr>
            <w:r w:rsidRPr="00F31D6A">
              <w:rPr>
                <w:rFonts w:eastAsia="Calibri" w:cs="Arial"/>
                <w:sz w:val="22"/>
                <w:lang w:eastAsia="en-US"/>
              </w:rPr>
              <w:t>-</w:t>
            </w:r>
          </w:p>
        </w:tc>
      </w:tr>
      <w:tr w:rsidR="0089662C" w:rsidRPr="00F31D6A" w:rsidTr="00860A99">
        <w:tc>
          <w:tcPr>
            <w:tcW w:w="5000" w:type="pct"/>
            <w:gridSpan w:val="8"/>
            <w:tcBorders>
              <w:left w:val="nil"/>
              <w:bottom w:val="nil"/>
              <w:right w:val="nil"/>
            </w:tcBorders>
            <w:shd w:val="clear" w:color="auto" w:fill="auto"/>
          </w:tcPr>
          <w:p w:rsidR="0089662C" w:rsidRPr="00F31D6A" w:rsidRDefault="0089662C" w:rsidP="00F31D6A">
            <w:pPr>
              <w:spacing w:before="0" w:after="0" w:line="240" w:lineRule="auto"/>
              <w:jc w:val="center"/>
              <w:rPr>
                <w:rFonts w:eastAsia="Calibri" w:cs="Arial"/>
                <w:i/>
                <w:sz w:val="22"/>
                <w:lang w:eastAsia="en-US"/>
              </w:rPr>
            </w:pPr>
            <w:r w:rsidRPr="00F31D6A">
              <w:rPr>
                <w:rFonts w:eastAsia="Calibri" w:cs="Arial"/>
                <w:i/>
                <w:sz w:val="22"/>
                <w:lang w:eastAsia="en-US"/>
              </w:rPr>
              <w:t xml:space="preserve">Letras no comunes difieren según la prueba de rangos múltiples de </w:t>
            </w:r>
            <w:proofErr w:type="spellStart"/>
            <w:r w:rsidRPr="00F31D6A">
              <w:rPr>
                <w:rFonts w:eastAsia="Calibri" w:cs="Arial"/>
                <w:i/>
                <w:sz w:val="22"/>
                <w:lang w:eastAsia="en-US"/>
              </w:rPr>
              <w:t>Tukey</w:t>
            </w:r>
            <w:proofErr w:type="spellEnd"/>
            <w:r w:rsidRPr="00F31D6A">
              <w:rPr>
                <w:rFonts w:eastAsia="Calibri" w:cs="Arial"/>
                <w:i/>
                <w:sz w:val="22"/>
                <w:lang w:eastAsia="en-US"/>
              </w:rPr>
              <w:t xml:space="preserve"> (p ≤ 0,05.</w:t>
            </w:r>
          </w:p>
        </w:tc>
      </w:tr>
      <w:bookmarkEnd w:id="1"/>
    </w:tbl>
    <w:p w:rsidR="00860A99" w:rsidRPr="00860A99" w:rsidRDefault="00860A99" w:rsidP="0089662C">
      <w:pPr>
        <w:spacing w:before="0" w:after="160"/>
        <w:rPr>
          <w:rFonts w:eastAsia="Calibri" w:cs="Arial"/>
          <w:sz w:val="8"/>
          <w:lang w:eastAsia="en-US"/>
        </w:rPr>
      </w:pPr>
    </w:p>
    <w:p w:rsidR="0089662C" w:rsidRPr="0089662C" w:rsidRDefault="00860A99" w:rsidP="0089662C">
      <w:pPr>
        <w:spacing w:before="0" w:after="160"/>
        <w:rPr>
          <w:rFonts w:eastAsia="Calibri" w:cs="Arial"/>
          <w:lang w:eastAsia="en-US"/>
        </w:rPr>
      </w:pPr>
      <w:r>
        <w:rPr>
          <w:rFonts w:eastAsia="Calibri" w:cs="Arial"/>
          <w:lang w:eastAsia="en-US"/>
        </w:rPr>
        <w:t xml:space="preserve">En la tabla </w:t>
      </w:r>
      <w:r w:rsidR="0089662C" w:rsidRPr="0089662C">
        <w:rPr>
          <w:rFonts w:eastAsia="Calibri" w:cs="Arial"/>
          <w:lang w:eastAsia="en-US"/>
        </w:rPr>
        <w:t xml:space="preserve">6 se muestra la interacción entre las variables dependiente (SS) y la independiente (tiempo de almacenamiento). A partir del análisis de regresión se encontró </w:t>
      </w:r>
      <w:r w:rsidR="0089662C" w:rsidRPr="0089662C">
        <w:rPr>
          <w:rFonts w:eastAsia="Calibri" w:cs="Arial"/>
          <w:lang w:eastAsia="en-US"/>
        </w:rPr>
        <w:lastRenderedPageBreak/>
        <w:t xml:space="preserve">que el modelo que más se ajustó es el linear con tendencia positiva en el tratamiento A y B y con una tendencia negativa en el tratamiento C y D con una relación muy fuerte (coeficiente de determinación, superior a 0,92). En los tratamientos A y B se incrementa en 0,7 y 0,084 </w:t>
      </w:r>
      <w:proofErr w:type="spellStart"/>
      <w:r w:rsidR="0089662C" w:rsidRPr="0089662C">
        <w:rPr>
          <w:rFonts w:eastAsia="Calibri" w:cs="Arial"/>
          <w:vertAlign w:val="superscript"/>
          <w:lang w:eastAsia="en-US"/>
        </w:rPr>
        <w:t>o</w:t>
      </w:r>
      <w:r w:rsidR="0089662C" w:rsidRPr="0089662C">
        <w:rPr>
          <w:rFonts w:eastAsia="Calibri" w:cs="Arial"/>
          <w:lang w:eastAsia="en-US"/>
        </w:rPr>
        <w:t>Brix</w:t>
      </w:r>
      <w:proofErr w:type="spellEnd"/>
      <w:r w:rsidR="0089662C" w:rsidRPr="0089662C">
        <w:rPr>
          <w:rFonts w:eastAsia="Calibri" w:cs="Arial"/>
          <w:lang w:eastAsia="en-US"/>
        </w:rPr>
        <w:t xml:space="preserve"> cada cuatro días que se toman las muestras, en cuanto que en los tratamientos C y D disminuyen los SS en 0,37 y 0,25 </w:t>
      </w:r>
      <w:proofErr w:type="spellStart"/>
      <w:r w:rsidR="0089662C" w:rsidRPr="0089662C">
        <w:rPr>
          <w:rFonts w:eastAsia="Calibri" w:cs="Arial"/>
          <w:vertAlign w:val="superscript"/>
          <w:lang w:eastAsia="en-US"/>
        </w:rPr>
        <w:t>o</w:t>
      </w:r>
      <w:r w:rsidR="0089662C" w:rsidRPr="0089662C">
        <w:rPr>
          <w:rFonts w:eastAsia="Calibri" w:cs="Arial"/>
          <w:lang w:eastAsia="en-US"/>
        </w:rPr>
        <w:t>Brix</w:t>
      </w:r>
      <w:proofErr w:type="spellEnd"/>
      <w:r w:rsidR="0089662C" w:rsidRPr="0089662C">
        <w:rPr>
          <w:rFonts w:eastAsia="Calibri" w:cs="Arial"/>
          <w:lang w:eastAsia="en-US"/>
        </w:rPr>
        <w:t>. Esta tendencia se explica que con el uso de la cobertura que, reduce la tasa de respiración y consigo el proceso de maduración.</w:t>
      </w:r>
    </w:p>
    <w:p w:rsidR="0089662C" w:rsidRDefault="00860A99" w:rsidP="0089662C">
      <w:pPr>
        <w:spacing w:before="0" w:after="160"/>
        <w:rPr>
          <w:rFonts w:eastAsia="Calibri" w:cs="Arial"/>
          <w:lang w:eastAsia="en-US"/>
        </w:rPr>
      </w:pPr>
      <w:r w:rsidRPr="0089662C">
        <w:rPr>
          <w:rFonts w:eastAsia="Calibri" w:cs="Arial"/>
          <w:lang w:eastAsia="en-US"/>
        </w:rPr>
        <w:t xml:space="preserve">El proceso de maduración mantiene una dinámica de acuerdo a un fruto climatérico que se hace evidente el no incremento de los SS a medida que se prolonga la etapa de almacenamiento </w:t>
      </w:r>
      <w:r w:rsidR="00DC562A" w:rsidRPr="00DC562A">
        <w:t xml:space="preserve">“Fig. </w:t>
      </w:r>
      <w:r>
        <w:t>3</w:t>
      </w:r>
      <w:r w:rsidR="00DC562A" w:rsidRPr="00DC562A">
        <w:t>”</w:t>
      </w:r>
      <w:r w:rsidR="0089662C" w:rsidRPr="0089662C">
        <w:rPr>
          <w:rFonts w:eastAsia="Calibri" w:cs="Arial"/>
          <w:lang w:eastAsia="en-US"/>
        </w:rPr>
        <w:t>. Los sólidos solubles representan bien la maduración de los frutos, significando que un elevado contenido en SS indica mayor grado de maduración del fruto. Este parámetro es utilizado por muchos autores, así como la causa entre solidos solubles totales y acidez titulable como una característica que refleja la cualidad sensorial de los frutos, siendo conocida también como índice de maduración.</w:t>
      </w:r>
    </w:p>
    <w:p w:rsidR="0089662C" w:rsidRPr="0089662C" w:rsidRDefault="0089662C" w:rsidP="0089662C">
      <w:pPr>
        <w:spacing w:before="0" w:after="160"/>
        <w:jc w:val="center"/>
        <w:rPr>
          <w:rFonts w:eastAsia="Calibri" w:cs="Arial"/>
          <w:noProof/>
        </w:rPr>
      </w:pPr>
      <w:r>
        <w:rPr>
          <w:rFonts w:eastAsia="Calibri" w:cs="Arial"/>
          <w:noProof/>
        </w:rPr>
        <w:drawing>
          <wp:inline distT="0" distB="0" distL="0" distR="0" wp14:anchorId="1877757A" wp14:editId="39E28F87">
            <wp:extent cx="4225925" cy="1967326"/>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7624" cy="1972772"/>
                    </a:xfrm>
                    <a:prstGeom prst="rect">
                      <a:avLst/>
                    </a:prstGeom>
                    <a:noFill/>
                    <a:ln>
                      <a:noFill/>
                    </a:ln>
                  </pic:spPr>
                </pic:pic>
              </a:graphicData>
            </a:graphic>
          </wp:inline>
        </w:drawing>
      </w:r>
    </w:p>
    <w:p w:rsidR="007403FC" w:rsidRPr="0089662C" w:rsidRDefault="007403FC" w:rsidP="007403FC">
      <w:pPr>
        <w:spacing w:before="0" w:after="0"/>
        <w:rPr>
          <w:rFonts w:eastAsia="Calibri" w:cs="Arial"/>
          <w:lang w:eastAsia="en-US"/>
        </w:rPr>
      </w:pPr>
      <w:r w:rsidRPr="0089662C">
        <w:rPr>
          <w:rFonts w:eastAsia="Calibri" w:cs="Arial"/>
          <w:lang w:eastAsia="en-US"/>
        </w:rPr>
        <w:t xml:space="preserve">Figura </w:t>
      </w:r>
      <w:r w:rsidR="00860A99">
        <w:rPr>
          <w:rFonts w:eastAsia="Calibri" w:cs="Arial"/>
          <w:lang w:eastAsia="en-US"/>
        </w:rPr>
        <w:t>3</w:t>
      </w:r>
      <w:r w:rsidRPr="0089662C">
        <w:rPr>
          <w:rFonts w:eastAsia="Calibri" w:cs="Arial"/>
          <w:lang w:eastAsia="en-US"/>
        </w:rPr>
        <w:t>: Sólidos solubles (</w:t>
      </w:r>
      <w:proofErr w:type="spellStart"/>
      <w:r w:rsidRPr="0089662C">
        <w:rPr>
          <w:rFonts w:eastAsia="Calibri" w:cs="Arial"/>
          <w:vertAlign w:val="superscript"/>
          <w:lang w:eastAsia="en-US"/>
        </w:rPr>
        <w:t>o</w:t>
      </w:r>
      <w:r w:rsidRPr="0089662C">
        <w:rPr>
          <w:rFonts w:eastAsia="Calibri" w:cs="Arial"/>
          <w:lang w:eastAsia="en-US"/>
        </w:rPr>
        <w:t>Brix</w:t>
      </w:r>
      <w:proofErr w:type="spellEnd"/>
      <w:r w:rsidRPr="0089662C">
        <w:rPr>
          <w:rFonts w:eastAsia="Calibri" w:cs="Arial"/>
          <w:lang w:eastAsia="en-US"/>
        </w:rPr>
        <w:t>) de la papaya en función del tiempo de almacenamiento</w:t>
      </w:r>
    </w:p>
    <w:p w:rsidR="0089662C" w:rsidRPr="0089662C" w:rsidRDefault="0089662C" w:rsidP="0089662C">
      <w:pPr>
        <w:spacing w:before="0" w:after="0"/>
        <w:rPr>
          <w:rFonts w:cs="Arial"/>
          <w:b/>
          <w:bCs/>
          <w:lang w:eastAsia="pt-PT"/>
        </w:rPr>
      </w:pPr>
      <w:r w:rsidRPr="0089662C">
        <w:rPr>
          <w:rFonts w:cs="Arial"/>
          <w:b/>
          <w:bCs/>
          <w:lang w:eastAsia="pt-PT"/>
        </w:rPr>
        <w:t xml:space="preserve">Acidez </w:t>
      </w:r>
      <w:proofErr w:type="spellStart"/>
      <w:r w:rsidRPr="0089662C">
        <w:rPr>
          <w:rFonts w:cs="Arial"/>
          <w:b/>
          <w:bCs/>
          <w:lang w:eastAsia="pt-PT"/>
        </w:rPr>
        <w:t>titulable</w:t>
      </w:r>
      <w:proofErr w:type="spellEnd"/>
      <w:r w:rsidRPr="0089662C">
        <w:rPr>
          <w:rFonts w:cs="Arial"/>
          <w:b/>
          <w:bCs/>
          <w:lang w:eastAsia="pt-PT"/>
        </w:rPr>
        <w:t xml:space="preserve"> (AT)</w:t>
      </w:r>
    </w:p>
    <w:p w:rsidR="0089662C" w:rsidRDefault="0089662C" w:rsidP="0089662C">
      <w:pPr>
        <w:spacing w:before="0" w:after="0"/>
        <w:rPr>
          <w:rFonts w:cs="Arial"/>
          <w:bCs/>
          <w:lang w:eastAsia="pt-PT"/>
        </w:rPr>
      </w:pPr>
      <w:r w:rsidRPr="0089662C">
        <w:rPr>
          <w:rFonts w:cs="Arial"/>
          <w:bCs/>
          <w:lang w:eastAsia="pt-PT"/>
        </w:rPr>
        <w:t xml:space="preserve">Durante la maduración de la papaya, ocurre un ligero aumento en la acidez de la pulpa, que se debe, probablemente, a la formación de ácido </w:t>
      </w:r>
      <w:proofErr w:type="spellStart"/>
      <w:r w:rsidRPr="0089662C">
        <w:rPr>
          <w:rFonts w:cs="Arial"/>
          <w:bCs/>
          <w:lang w:eastAsia="pt-PT"/>
        </w:rPr>
        <w:t>galacturonico</w:t>
      </w:r>
      <w:proofErr w:type="spellEnd"/>
      <w:r w:rsidRPr="0089662C">
        <w:rPr>
          <w:rFonts w:cs="Arial"/>
          <w:bCs/>
          <w:lang w:eastAsia="pt-PT"/>
        </w:rPr>
        <w:t>, en consecuencia, de la hidrolice de la pectina por las enzimas</w:t>
      </w:r>
      <w:r w:rsidRPr="0089662C">
        <w:rPr>
          <w:rFonts w:eastAsia="Calibri" w:cs="Arial"/>
          <w:lang w:eastAsia="en-US"/>
        </w:rPr>
        <w:t xml:space="preserve"> </w:t>
      </w:r>
      <w:proofErr w:type="spellStart"/>
      <w:r w:rsidRPr="0089662C">
        <w:rPr>
          <w:rFonts w:eastAsia="Calibri" w:cs="Arial"/>
          <w:lang w:eastAsia="en-US"/>
        </w:rPr>
        <w:t>pectinametilesterasa</w:t>
      </w:r>
      <w:proofErr w:type="spellEnd"/>
      <w:r w:rsidRPr="0089662C">
        <w:rPr>
          <w:rFonts w:eastAsia="Calibri" w:cs="Arial"/>
          <w:lang w:eastAsia="en-US"/>
        </w:rPr>
        <w:t xml:space="preserve"> y </w:t>
      </w:r>
      <w:proofErr w:type="spellStart"/>
      <w:r w:rsidRPr="0089662C">
        <w:rPr>
          <w:rFonts w:eastAsia="Calibri" w:cs="Arial"/>
          <w:lang w:eastAsia="en-US"/>
        </w:rPr>
        <w:t>poligalacturonasa</w:t>
      </w:r>
      <w:proofErr w:type="spellEnd"/>
      <w:r w:rsidRPr="0089662C">
        <w:rPr>
          <w:rFonts w:eastAsia="Calibri" w:cs="Arial"/>
          <w:lang w:eastAsia="en-US"/>
        </w:rPr>
        <w:t xml:space="preserve">. </w:t>
      </w:r>
      <w:r w:rsidRPr="0089662C">
        <w:rPr>
          <w:rFonts w:cs="Arial"/>
          <w:bCs/>
          <w:lang w:eastAsia="pt-PT"/>
        </w:rPr>
        <w:t xml:space="preserve">Se verifica por la </w:t>
      </w:r>
      <w:r w:rsidR="00DC562A" w:rsidRPr="00DC562A">
        <w:t xml:space="preserve">“Fig. </w:t>
      </w:r>
      <w:r w:rsidR="00860A99">
        <w:t>4</w:t>
      </w:r>
      <w:r w:rsidR="00DC562A" w:rsidRPr="00DC562A">
        <w:t>”</w:t>
      </w:r>
      <w:r w:rsidRPr="0089662C">
        <w:rPr>
          <w:rFonts w:cs="Arial"/>
          <w:bCs/>
          <w:lang w:eastAsia="pt-PT"/>
        </w:rPr>
        <w:t xml:space="preserve"> que todos los tratamientos presentaron un incremento de la AT en los primeros cuatro días después de una reducción a lo largo del almacenamiento en los que se usó cobertura, que puede ser probablemente una consecuencia de la reducción </w:t>
      </w:r>
      <w:r w:rsidRPr="0089662C">
        <w:rPr>
          <w:rFonts w:cs="Arial"/>
          <w:bCs/>
          <w:lang w:eastAsia="pt-PT"/>
        </w:rPr>
        <w:lastRenderedPageBreak/>
        <w:t xml:space="preserve">de la actividad respiratoria, no así para el tratamiento control, las reducciones donde se utilizó almidón fue mayor y ocurrieron hasta los ocho días, siendo menor en el tratamiento B y C (1 y 2 %), en el tratamiento D esta reducción fue de 1,08 y 1,02 veces a los doce y dieciséis días respecto al contenido de acidez de los ocho días. </w:t>
      </w:r>
    </w:p>
    <w:p w:rsidR="0089662C" w:rsidRPr="0089662C" w:rsidRDefault="0089662C" w:rsidP="0089662C">
      <w:pPr>
        <w:spacing w:before="0" w:after="160"/>
        <w:jc w:val="center"/>
        <w:rPr>
          <w:rFonts w:eastAsia="Calibri" w:cs="Arial"/>
          <w:lang w:eastAsia="en-US"/>
        </w:rPr>
      </w:pPr>
      <w:r>
        <w:rPr>
          <w:rFonts w:eastAsia="Calibri" w:cs="Arial"/>
          <w:noProof/>
        </w:rPr>
        <w:drawing>
          <wp:inline distT="0" distB="0" distL="0" distR="0" wp14:anchorId="43A90F73" wp14:editId="47C28DB6">
            <wp:extent cx="4062730" cy="19754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2730" cy="1975485"/>
                    </a:xfrm>
                    <a:prstGeom prst="rect">
                      <a:avLst/>
                    </a:prstGeom>
                    <a:noFill/>
                    <a:ln>
                      <a:noFill/>
                    </a:ln>
                  </pic:spPr>
                </pic:pic>
              </a:graphicData>
            </a:graphic>
          </wp:inline>
        </w:drawing>
      </w:r>
    </w:p>
    <w:p w:rsidR="007403FC" w:rsidRPr="0089662C" w:rsidRDefault="007403FC" w:rsidP="007403FC">
      <w:pPr>
        <w:spacing w:before="0" w:after="160"/>
        <w:rPr>
          <w:rFonts w:eastAsia="Calibri" w:cs="Arial"/>
          <w:lang w:eastAsia="en-US"/>
        </w:rPr>
      </w:pPr>
      <w:r w:rsidRPr="0089662C">
        <w:rPr>
          <w:rFonts w:eastAsia="Calibri" w:cs="Arial"/>
          <w:lang w:eastAsia="en-US"/>
        </w:rPr>
        <w:t xml:space="preserve">Figura </w:t>
      </w:r>
      <w:r w:rsidR="00860A99">
        <w:rPr>
          <w:rFonts w:eastAsia="Calibri" w:cs="Arial"/>
          <w:lang w:eastAsia="en-US"/>
        </w:rPr>
        <w:t>4</w:t>
      </w:r>
      <w:r w:rsidRPr="0089662C">
        <w:rPr>
          <w:rFonts w:eastAsia="Calibri" w:cs="Arial"/>
          <w:lang w:eastAsia="en-US"/>
        </w:rPr>
        <w:t>: Evaluación del contenido de acidez titulable de la papaya en función del tiempo de almacenamiento.</w:t>
      </w:r>
    </w:p>
    <w:p w:rsidR="0089662C" w:rsidRPr="0089662C" w:rsidRDefault="00860A99" w:rsidP="0089662C">
      <w:pPr>
        <w:spacing w:before="0" w:after="160"/>
        <w:rPr>
          <w:rFonts w:eastAsia="Calibri" w:cs="Arial"/>
          <w:lang w:eastAsia="en-US"/>
        </w:rPr>
      </w:pPr>
      <w:r>
        <w:rPr>
          <w:rFonts w:eastAsia="Calibri" w:cs="Arial"/>
          <w:lang w:eastAsia="en-US"/>
        </w:rPr>
        <w:t xml:space="preserve">Según </w:t>
      </w:r>
      <w:r w:rsidRPr="0089662C">
        <w:rPr>
          <w:rFonts w:eastAsia="Calibri" w:cs="Arial"/>
          <w:lang w:eastAsia="en-US"/>
        </w:rPr>
        <w:t xml:space="preserve">describe </w:t>
      </w:r>
      <w:r w:rsidR="0089662C" w:rsidRPr="0089662C">
        <w:rPr>
          <w:rFonts w:eastAsia="Calibri" w:cs="Arial"/>
          <w:lang w:eastAsia="en-US"/>
        </w:rPr>
        <w:t xml:space="preserve">Fernández et al., (2017) la acidez aumenta con la maduración de los frutos hasta llegar a un 75 % de la superficie amarilla; a partir de ahí, los niveles decrecen, excepto en el interior del mesocarpio, donde la acidez titulable aumenta hasta que el fruto este completamente amarillo. El comportamiento del tratamiento A coincide con los resultados obtenidos por </w:t>
      </w:r>
      <w:proofErr w:type="spellStart"/>
      <w:r w:rsidR="0089662C" w:rsidRPr="0089662C">
        <w:rPr>
          <w:rFonts w:eastAsia="Calibri" w:cs="Arial"/>
          <w:lang w:eastAsia="en-US"/>
        </w:rPr>
        <w:t>Song</w:t>
      </w:r>
      <w:proofErr w:type="spellEnd"/>
      <w:r w:rsidR="0089662C" w:rsidRPr="0089662C">
        <w:rPr>
          <w:rFonts w:eastAsia="Calibri" w:cs="Arial"/>
          <w:lang w:eastAsia="en-US"/>
        </w:rPr>
        <w:t xml:space="preserve"> et al., (2018) que describieron que el aumento de la acidez se explica por la formación de ácido </w:t>
      </w:r>
      <w:proofErr w:type="spellStart"/>
      <w:r w:rsidR="0089662C" w:rsidRPr="0089662C">
        <w:rPr>
          <w:rFonts w:eastAsia="Calibri" w:cs="Arial"/>
          <w:lang w:eastAsia="en-US"/>
        </w:rPr>
        <w:t>galacturónico</w:t>
      </w:r>
      <w:proofErr w:type="spellEnd"/>
      <w:r w:rsidR="0089662C" w:rsidRPr="0089662C">
        <w:rPr>
          <w:rFonts w:eastAsia="Calibri" w:cs="Arial"/>
          <w:lang w:eastAsia="en-US"/>
        </w:rPr>
        <w:t xml:space="preserve"> en el proceso de degradación de la pared celular durante la maduración de la papaya, y a la relación inversa con el pH, que a la medida que se incrementa el pH disminuye la AT y viceversa.</w:t>
      </w:r>
    </w:p>
    <w:p w:rsidR="0089662C" w:rsidRPr="0089662C" w:rsidRDefault="0089662C" w:rsidP="00D05D7E">
      <w:pPr>
        <w:spacing w:before="0" w:after="160"/>
        <w:rPr>
          <w:rFonts w:eastAsia="Calibri" w:cs="Arial"/>
          <w:lang w:eastAsia="en-US"/>
        </w:rPr>
      </w:pPr>
      <w:r w:rsidRPr="0089662C">
        <w:rPr>
          <w:rFonts w:eastAsia="Calibri" w:cs="Arial"/>
          <w:lang w:eastAsia="en-US"/>
        </w:rPr>
        <w:t xml:space="preserve">En la tabla 7 se destaca los valores medios del contenido de acidez titulable en 16 días de almacenamiento, donde los tratamientos con filmes de 2 a 3 % de concentración de almidón no difieren significativamente entre sí en todos los periodos de almacenamiento, lo que evidencia menores oscilaciones en los tratamientos por la acción del filme. En el tratamiento D la variable AT presento una variación en relación con el control de 1,21 veces menor y de 1,08 a 1,05 veces en relación a los otros tratamientos donde se utilizó el almidón de yuca. Esta tendencia permite afirmar que las concentraciones impidieron el avance de la maduración de los frutos, visto que, la disminución de la acidez está </w:t>
      </w:r>
      <w:r w:rsidRPr="0089662C">
        <w:rPr>
          <w:rFonts w:eastAsia="Calibri" w:cs="Arial"/>
          <w:lang w:eastAsia="en-US"/>
        </w:rPr>
        <w:lastRenderedPageBreak/>
        <w:t>asociada al consumo de los ácidos en el proceso respiratorio en la ocurrencia de la maduración</w:t>
      </w:r>
      <w:r w:rsidR="00860A99">
        <w:rPr>
          <w:rFonts w:eastAsia="Calibri" w:cs="Arial"/>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3901"/>
        <w:gridCol w:w="1958"/>
        <w:gridCol w:w="2044"/>
      </w:tblGrid>
      <w:tr w:rsidR="0089662C" w:rsidRPr="00860A99" w:rsidTr="00860A99">
        <w:tc>
          <w:tcPr>
            <w:tcW w:w="5000" w:type="pct"/>
            <w:gridSpan w:val="4"/>
            <w:tcBorders>
              <w:top w:val="nil"/>
              <w:left w:val="nil"/>
              <w:bottom w:val="single" w:sz="4" w:space="0" w:color="auto"/>
              <w:right w:val="nil"/>
            </w:tcBorders>
            <w:shd w:val="clear" w:color="auto" w:fill="auto"/>
          </w:tcPr>
          <w:p w:rsidR="0089662C" w:rsidRPr="00860A99" w:rsidRDefault="0089662C" w:rsidP="00860A99">
            <w:pPr>
              <w:spacing w:before="0" w:after="0" w:line="240" w:lineRule="auto"/>
              <w:rPr>
                <w:rFonts w:eastAsia="Calibri" w:cs="Arial"/>
                <w:sz w:val="22"/>
                <w:lang w:eastAsia="en-US"/>
              </w:rPr>
            </w:pPr>
            <w:r w:rsidRPr="00860A99">
              <w:rPr>
                <w:rFonts w:eastAsia="Calibri" w:cs="Arial"/>
                <w:color w:val="000000"/>
                <w:sz w:val="22"/>
              </w:rPr>
              <w:t xml:space="preserve">Tabla 7: Media de evaluación del contenido de acidez titulable en 16 días de almacenamiento de los frutos de la papaya </w:t>
            </w:r>
            <w:r w:rsidRPr="00860A99">
              <w:rPr>
                <w:rFonts w:eastAsia="Calibri" w:cs="Arial"/>
                <w:sz w:val="22"/>
                <w:lang w:eastAsia="en-US"/>
              </w:rPr>
              <w:t>con y sin revestimiento con almidón de yuca.</w:t>
            </w:r>
          </w:p>
        </w:tc>
      </w:tr>
      <w:tr w:rsidR="0089662C" w:rsidRPr="00860A99" w:rsidTr="00860A99">
        <w:trPr>
          <w:trHeight w:val="68"/>
        </w:trPr>
        <w:tc>
          <w:tcPr>
            <w:tcW w:w="798" w:type="pct"/>
            <w:vMerge w:val="restart"/>
            <w:tcBorders>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Tratamientos</w:t>
            </w:r>
          </w:p>
        </w:tc>
        <w:tc>
          <w:tcPr>
            <w:tcW w:w="2074" w:type="pct"/>
            <w:vMerge w:val="restar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Media de AT (% ácido cítrico) durante almacenamiento (Media ± S)</w:t>
            </w:r>
          </w:p>
        </w:tc>
        <w:tc>
          <w:tcPr>
            <w:tcW w:w="2128" w:type="pct"/>
            <w:gridSpan w:val="2"/>
            <w:tcBorders>
              <w:lef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95 % intervalo de confianza para las medias</w:t>
            </w:r>
          </w:p>
        </w:tc>
      </w:tr>
      <w:tr w:rsidR="0089662C" w:rsidRPr="00860A99" w:rsidTr="00860A99">
        <w:trPr>
          <w:trHeight w:val="67"/>
        </w:trPr>
        <w:tc>
          <w:tcPr>
            <w:tcW w:w="798" w:type="pct"/>
            <w:vMerge/>
            <w:tcBorders>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p>
        </w:tc>
        <w:tc>
          <w:tcPr>
            <w:tcW w:w="2074" w:type="pct"/>
            <w:vMerge/>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p>
        </w:tc>
        <w:tc>
          <w:tcPr>
            <w:tcW w:w="1041"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Límite inferior</w:t>
            </w:r>
          </w:p>
        </w:tc>
        <w:tc>
          <w:tcPr>
            <w:tcW w:w="1087" w:type="pct"/>
            <w:tcBorders>
              <w:lef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Límite superior</w:t>
            </w:r>
          </w:p>
        </w:tc>
      </w:tr>
      <w:tr w:rsidR="0089662C" w:rsidRPr="00860A99" w:rsidTr="00860A99">
        <w:tc>
          <w:tcPr>
            <w:tcW w:w="798" w:type="pct"/>
            <w:tcBorders>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A</w:t>
            </w:r>
          </w:p>
        </w:tc>
        <w:tc>
          <w:tcPr>
            <w:tcW w:w="2074"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0,142 ± 0,005 c</w:t>
            </w:r>
          </w:p>
        </w:tc>
        <w:tc>
          <w:tcPr>
            <w:tcW w:w="1041"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0,133</w:t>
            </w:r>
          </w:p>
        </w:tc>
        <w:tc>
          <w:tcPr>
            <w:tcW w:w="1087" w:type="pct"/>
            <w:tcBorders>
              <w:lef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0,139</w:t>
            </w:r>
          </w:p>
        </w:tc>
      </w:tr>
      <w:tr w:rsidR="0089662C" w:rsidRPr="00860A99" w:rsidTr="00860A99">
        <w:tc>
          <w:tcPr>
            <w:tcW w:w="798" w:type="pct"/>
            <w:tcBorders>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B</w:t>
            </w:r>
          </w:p>
        </w:tc>
        <w:tc>
          <w:tcPr>
            <w:tcW w:w="2074"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0,127 ± 0,002 b</w:t>
            </w:r>
          </w:p>
        </w:tc>
        <w:tc>
          <w:tcPr>
            <w:tcW w:w="1041"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0,123</w:t>
            </w:r>
          </w:p>
        </w:tc>
        <w:tc>
          <w:tcPr>
            <w:tcW w:w="1087" w:type="pct"/>
            <w:tcBorders>
              <w:lef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0,130</w:t>
            </w:r>
          </w:p>
        </w:tc>
      </w:tr>
      <w:tr w:rsidR="0089662C" w:rsidRPr="00860A99" w:rsidTr="00860A99">
        <w:tc>
          <w:tcPr>
            <w:tcW w:w="798" w:type="pct"/>
            <w:tcBorders>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C</w:t>
            </w:r>
          </w:p>
        </w:tc>
        <w:tc>
          <w:tcPr>
            <w:tcW w:w="2074"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0,123 ± 0,004 ab</w:t>
            </w:r>
          </w:p>
        </w:tc>
        <w:tc>
          <w:tcPr>
            <w:tcW w:w="1041"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0,116</w:t>
            </w:r>
          </w:p>
        </w:tc>
        <w:tc>
          <w:tcPr>
            <w:tcW w:w="1087" w:type="pct"/>
            <w:tcBorders>
              <w:lef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0,129</w:t>
            </w:r>
          </w:p>
        </w:tc>
      </w:tr>
      <w:tr w:rsidR="0089662C" w:rsidRPr="00860A99" w:rsidTr="00860A99">
        <w:tc>
          <w:tcPr>
            <w:tcW w:w="798" w:type="pct"/>
            <w:tcBorders>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D</w:t>
            </w:r>
          </w:p>
        </w:tc>
        <w:tc>
          <w:tcPr>
            <w:tcW w:w="2074"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0,117 ± 0,004 a</w:t>
            </w:r>
          </w:p>
        </w:tc>
        <w:tc>
          <w:tcPr>
            <w:tcW w:w="1041" w:type="pct"/>
            <w:tcBorders>
              <w:left w:val="nil"/>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0,109</w:t>
            </w:r>
          </w:p>
        </w:tc>
        <w:tc>
          <w:tcPr>
            <w:tcW w:w="1087" w:type="pct"/>
            <w:tcBorders>
              <w:lef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0,124</w:t>
            </w:r>
          </w:p>
        </w:tc>
      </w:tr>
      <w:tr w:rsidR="0089662C" w:rsidRPr="00860A99" w:rsidTr="00860A99">
        <w:tc>
          <w:tcPr>
            <w:tcW w:w="798" w:type="pct"/>
            <w:tcBorders>
              <w:bottom w:val="single" w:sz="4" w:space="0" w:color="auto"/>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proofErr w:type="spellStart"/>
            <w:r w:rsidRPr="00860A99">
              <w:rPr>
                <w:rFonts w:eastAsia="Calibri" w:cs="Arial"/>
                <w:sz w:val="22"/>
                <w:lang w:eastAsia="en-US"/>
              </w:rPr>
              <w:t>Esx</w:t>
            </w:r>
            <w:proofErr w:type="spellEnd"/>
          </w:p>
        </w:tc>
        <w:tc>
          <w:tcPr>
            <w:tcW w:w="2074" w:type="pct"/>
            <w:tcBorders>
              <w:left w:val="nil"/>
              <w:bottom w:val="single" w:sz="4" w:space="0" w:color="auto"/>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0,00262</w:t>
            </w:r>
          </w:p>
        </w:tc>
        <w:tc>
          <w:tcPr>
            <w:tcW w:w="1041" w:type="pct"/>
            <w:tcBorders>
              <w:left w:val="nil"/>
              <w:bottom w:val="single" w:sz="4" w:space="0" w:color="auto"/>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w:t>
            </w:r>
          </w:p>
        </w:tc>
        <w:tc>
          <w:tcPr>
            <w:tcW w:w="1087" w:type="pct"/>
            <w:tcBorders>
              <w:left w:val="nil"/>
              <w:bottom w:val="single" w:sz="4" w:space="0" w:color="auto"/>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w:t>
            </w:r>
          </w:p>
        </w:tc>
      </w:tr>
      <w:tr w:rsidR="0089662C" w:rsidRPr="00860A99" w:rsidTr="00860A99">
        <w:tc>
          <w:tcPr>
            <w:tcW w:w="798" w:type="pct"/>
            <w:tcBorders>
              <w:bottom w:val="single" w:sz="4" w:space="0" w:color="auto"/>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CV (%)</w:t>
            </w:r>
          </w:p>
        </w:tc>
        <w:tc>
          <w:tcPr>
            <w:tcW w:w="2074" w:type="pct"/>
            <w:tcBorders>
              <w:left w:val="nil"/>
              <w:bottom w:val="single" w:sz="4" w:space="0" w:color="auto"/>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11,2</w:t>
            </w:r>
          </w:p>
        </w:tc>
        <w:tc>
          <w:tcPr>
            <w:tcW w:w="1041" w:type="pct"/>
            <w:tcBorders>
              <w:left w:val="nil"/>
              <w:bottom w:val="single" w:sz="4" w:space="0" w:color="auto"/>
              <w:right w:val="nil"/>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w:t>
            </w:r>
          </w:p>
        </w:tc>
        <w:tc>
          <w:tcPr>
            <w:tcW w:w="1087" w:type="pct"/>
            <w:tcBorders>
              <w:left w:val="nil"/>
              <w:bottom w:val="single" w:sz="4" w:space="0" w:color="auto"/>
            </w:tcBorders>
            <w:shd w:val="clear" w:color="auto" w:fill="auto"/>
            <w:vAlign w:val="center"/>
          </w:tcPr>
          <w:p w:rsidR="0089662C" w:rsidRPr="00860A99" w:rsidRDefault="0089662C" w:rsidP="00860A99">
            <w:pPr>
              <w:spacing w:before="0" w:after="0" w:line="240" w:lineRule="auto"/>
              <w:jc w:val="center"/>
              <w:rPr>
                <w:rFonts w:eastAsia="Calibri" w:cs="Arial"/>
                <w:sz w:val="22"/>
                <w:lang w:eastAsia="en-US"/>
              </w:rPr>
            </w:pPr>
            <w:r w:rsidRPr="00860A99">
              <w:rPr>
                <w:rFonts w:eastAsia="Calibri" w:cs="Arial"/>
                <w:sz w:val="22"/>
                <w:lang w:eastAsia="en-US"/>
              </w:rPr>
              <w:t>-</w:t>
            </w:r>
          </w:p>
        </w:tc>
      </w:tr>
      <w:tr w:rsidR="0089662C" w:rsidRPr="00860A99" w:rsidTr="00860A99">
        <w:tc>
          <w:tcPr>
            <w:tcW w:w="5000" w:type="pct"/>
            <w:gridSpan w:val="4"/>
            <w:tcBorders>
              <w:left w:val="nil"/>
              <w:bottom w:val="nil"/>
              <w:right w:val="nil"/>
            </w:tcBorders>
            <w:shd w:val="clear" w:color="auto" w:fill="auto"/>
          </w:tcPr>
          <w:p w:rsidR="0089662C" w:rsidRPr="00860A99" w:rsidRDefault="0089662C" w:rsidP="00860A99">
            <w:pPr>
              <w:spacing w:before="0" w:after="0" w:line="240" w:lineRule="auto"/>
              <w:jc w:val="center"/>
              <w:rPr>
                <w:rFonts w:eastAsia="Calibri" w:cs="Arial"/>
                <w:i/>
                <w:sz w:val="22"/>
                <w:lang w:eastAsia="en-US"/>
              </w:rPr>
            </w:pPr>
            <w:r w:rsidRPr="00860A99">
              <w:rPr>
                <w:rFonts w:eastAsia="Calibri" w:cs="Arial"/>
                <w:i/>
                <w:sz w:val="22"/>
                <w:lang w:eastAsia="en-US"/>
              </w:rPr>
              <w:t xml:space="preserve">Letras no comunes difieren según la prueba de rangos múltiples de </w:t>
            </w:r>
            <w:proofErr w:type="spellStart"/>
            <w:r w:rsidRPr="00860A99">
              <w:rPr>
                <w:rFonts w:eastAsia="Calibri" w:cs="Arial"/>
                <w:i/>
                <w:sz w:val="22"/>
                <w:lang w:eastAsia="en-US"/>
              </w:rPr>
              <w:t>Tukey</w:t>
            </w:r>
            <w:proofErr w:type="spellEnd"/>
            <w:r w:rsidRPr="00860A99">
              <w:rPr>
                <w:rFonts w:eastAsia="Calibri" w:cs="Arial"/>
                <w:i/>
                <w:sz w:val="22"/>
                <w:lang w:eastAsia="en-US"/>
              </w:rPr>
              <w:t xml:space="preserve"> (p ≤ 0,05.</w:t>
            </w:r>
          </w:p>
        </w:tc>
      </w:tr>
    </w:tbl>
    <w:p w:rsidR="00860A99" w:rsidRPr="00860A99" w:rsidRDefault="00860A99" w:rsidP="0089662C">
      <w:pPr>
        <w:spacing w:before="0" w:after="0"/>
        <w:rPr>
          <w:rFonts w:eastAsia="Calibri" w:cs="Arial"/>
          <w:b/>
          <w:sz w:val="10"/>
          <w:lang w:eastAsia="en-US"/>
        </w:rPr>
      </w:pPr>
    </w:p>
    <w:p w:rsidR="0089662C" w:rsidRPr="0089662C" w:rsidRDefault="0089662C" w:rsidP="0089662C">
      <w:pPr>
        <w:spacing w:before="0" w:after="0"/>
        <w:rPr>
          <w:rFonts w:eastAsia="Calibri" w:cs="Arial"/>
          <w:b/>
          <w:lang w:eastAsia="en-US"/>
        </w:rPr>
      </w:pPr>
      <w:r w:rsidRPr="0089662C">
        <w:rPr>
          <w:rFonts w:eastAsia="Calibri" w:cs="Arial"/>
          <w:b/>
          <w:lang w:eastAsia="en-US"/>
        </w:rPr>
        <w:t>Tiempo de vida útil</w:t>
      </w:r>
    </w:p>
    <w:p w:rsidR="0089662C" w:rsidRPr="0089662C" w:rsidRDefault="00C75363" w:rsidP="0089662C">
      <w:pPr>
        <w:spacing w:before="0" w:after="160"/>
        <w:rPr>
          <w:rFonts w:eastAsia="Calibri" w:cs="Arial"/>
          <w:b/>
          <w:lang w:eastAsia="en-US"/>
        </w:rPr>
      </w:pPr>
      <w:r>
        <w:rPr>
          <w:rFonts w:eastAsia="Calibri" w:cs="Arial"/>
          <w:lang w:eastAsia="en-US"/>
        </w:rPr>
        <w:t xml:space="preserve"> </w:t>
      </w:r>
      <w:r w:rsidR="0089662C" w:rsidRPr="0089662C">
        <w:rPr>
          <w:rFonts w:eastAsia="Calibri" w:cs="Arial"/>
          <w:lang w:eastAsia="en-US"/>
        </w:rPr>
        <w:t>Todas las concentraciones de almidón de yuca prolongaron la vida útil de la papaya, proporcionando aumentos de días en estadios de maduración inferior que los frutos sin revestir. Ciertamente, los tratamientos con almidón formaron una barrera sobre la superficie de los frutos, reduciendo su cambio gaseoso</w:t>
      </w:r>
      <w:r w:rsidR="0089662C" w:rsidRPr="0089662C">
        <w:rPr>
          <w:rFonts w:eastAsia="Calibri" w:cs="Arial"/>
          <w:color w:val="FF0000"/>
          <w:lang w:eastAsia="en-US"/>
        </w:rPr>
        <w:t xml:space="preserve"> </w:t>
      </w:r>
      <w:r w:rsidR="0089662C" w:rsidRPr="0089662C">
        <w:rPr>
          <w:rFonts w:eastAsia="Calibri" w:cs="Arial"/>
          <w:lang w:eastAsia="en-US"/>
        </w:rPr>
        <w:t>y retardando sus procesos metabólicos de maduración. Siendo la pérdida de masa fresca una variable de comportamiento típicamente linear, considerándose para el tiempo de almacenamiento, además de eso, los frutos tratados con</w:t>
      </w:r>
      <w:r w:rsidR="0089662C" w:rsidRPr="0089662C">
        <w:rPr>
          <w:rFonts w:eastAsia="Calibri" w:cs="Arial"/>
          <w:noProof/>
          <w:lang w:eastAsia="en-US"/>
        </w:rPr>
        <w:t xml:space="preserve"> quitosana permanecieron con coloración verde por mayor tiempo y, en esta condición perderan más masa que los maduros, debido a las mayores taxas de respiración y transpiración de los frutos más verdes. </w:t>
      </w:r>
    </w:p>
    <w:p w:rsidR="0089662C" w:rsidRPr="0089662C" w:rsidRDefault="0089662C" w:rsidP="0089662C">
      <w:pPr>
        <w:spacing w:before="0" w:after="0"/>
        <w:rPr>
          <w:rFonts w:eastAsia="Calibri" w:cs="Arial"/>
          <w:b/>
          <w:lang w:eastAsia="en-US"/>
        </w:rPr>
      </w:pPr>
      <w:r w:rsidRPr="0089662C">
        <w:rPr>
          <w:rFonts w:eastAsia="Calibri" w:cs="Arial"/>
          <w:b/>
          <w:lang w:eastAsia="en-US"/>
        </w:rPr>
        <w:t>CONCLUSIONES</w:t>
      </w:r>
    </w:p>
    <w:p w:rsidR="0089662C" w:rsidRPr="0089662C" w:rsidRDefault="0089662C" w:rsidP="00860A99">
      <w:pPr>
        <w:spacing w:before="0" w:after="160"/>
        <w:rPr>
          <w:rFonts w:eastAsia="Calibri" w:cs="Arial"/>
          <w:lang w:eastAsia="en-US"/>
        </w:rPr>
      </w:pPr>
      <w:r w:rsidRPr="0089662C">
        <w:rPr>
          <w:rFonts w:eastAsia="Calibri" w:cs="Arial"/>
          <w:lang w:eastAsia="en-US"/>
        </w:rPr>
        <w:t>El filme comestible de almidón de yuca al 3 % resulto ser una buena alternativa para la conservación de la papaya durante el almacenamiento, consiguió retardar cambios en variables fisicoquímicas como: pérdida de masa fresca, reducción de sólidos solubles, pH y disminuyo la acidez titular, con el cual se mantiene la calidad del fruto hasta 16 días.</w:t>
      </w:r>
    </w:p>
    <w:p w:rsidR="0089662C" w:rsidRPr="0089662C" w:rsidRDefault="0089662C" w:rsidP="00860A99">
      <w:pPr>
        <w:spacing w:before="0" w:after="160"/>
        <w:rPr>
          <w:rFonts w:eastAsia="Calibri" w:cs="Arial"/>
          <w:lang w:eastAsia="en-US"/>
        </w:rPr>
      </w:pPr>
      <w:r w:rsidRPr="0089662C">
        <w:rPr>
          <w:rFonts w:eastAsia="Calibri" w:cs="Arial"/>
          <w:lang w:eastAsia="en-US"/>
        </w:rPr>
        <w:t>El recubrimiento a base de almidón de yuca prolonga el tiempo de vida útil de la papaya, manifestándose durante los 16 días de almacenamiento con estadios de maduración inferiores a los frutos no tratados para este periodo, además de mejorar la apariencia externa.</w:t>
      </w:r>
    </w:p>
    <w:p w:rsidR="00001A65" w:rsidRDefault="00001A65" w:rsidP="0089662C">
      <w:pPr>
        <w:spacing w:before="0" w:after="0"/>
        <w:rPr>
          <w:rFonts w:eastAsia="Calibri" w:cs="Arial"/>
          <w:b/>
          <w:lang w:eastAsia="en-US"/>
        </w:rPr>
      </w:pPr>
    </w:p>
    <w:p w:rsidR="0089662C" w:rsidRPr="00860A99" w:rsidRDefault="0089662C" w:rsidP="0089662C">
      <w:pPr>
        <w:spacing w:before="0" w:after="0"/>
        <w:rPr>
          <w:rFonts w:eastAsia="Calibri" w:cs="Arial"/>
          <w:b/>
          <w:lang w:eastAsia="en-US"/>
        </w:rPr>
      </w:pPr>
      <w:r w:rsidRPr="00860A99">
        <w:rPr>
          <w:rFonts w:eastAsia="Calibri" w:cs="Arial"/>
          <w:b/>
          <w:lang w:eastAsia="en-US"/>
        </w:rPr>
        <w:lastRenderedPageBreak/>
        <w:t>REFERENCIAS BIBLIOGRAFICAS</w:t>
      </w:r>
    </w:p>
    <w:p w:rsidR="0089662C" w:rsidRPr="0089662C" w:rsidRDefault="0089662C" w:rsidP="0089662C">
      <w:pPr>
        <w:numPr>
          <w:ilvl w:val="0"/>
          <w:numId w:val="26"/>
        </w:numPr>
        <w:spacing w:before="0" w:after="0"/>
        <w:ind w:left="426" w:hanging="426"/>
        <w:jc w:val="left"/>
        <w:rPr>
          <w:rFonts w:eastAsia="Calibri" w:cs="Arial"/>
          <w:lang w:val="en-US" w:eastAsia="en-US"/>
        </w:rPr>
      </w:pPr>
      <w:proofErr w:type="spellStart"/>
      <w:r w:rsidRPr="0089662C">
        <w:rPr>
          <w:rFonts w:eastAsia="Calibri" w:cs="Arial"/>
          <w:lang w:val="en-US" w:eastAsia="en-US"/>
        </w:rPr>
        <w:t>Aghdam</w:t>
      </w:r>
      <w:proofErr w:type="spellEnd"/>
      <w:r w:rsidRPr="0089662C">
        <w:rPr>
          <w:rFonts w:eastAsia="Calibri" w:cs="Arial"/>
          <w:lang w:val="en-US" w:eastAsia="en-US"/>
        </w:rPr>
        <w:t xml:space="preserve">, M.; </w:t>
      </w:r>
      <w:proofErr w:type="spellStart"/>
      <w:r w:rsidRPr="0089662C">
        <w:rPr>
          <w:rFonts w:eastAsia="Calibri" w:cs="Arial"/>
          <w:lang w:val="en-US" w:eastAsia="en-US"/>
        </w:rPr>
        <w:t>Sevillano</w:t>
      </w:r>
      <w:proofErr w:type="spellEnd"/>
      <w:r w:rsidRPr="0089662C">
        <w:rPr>
          <w:rFonts w:eastAsia="Calibri" w:cs="Arial"/>
          <w:lang w:val="en-US" w:eastAsia="en-US"/>
        </w:rPr>
        <w:t xml:space="preserve">, L.; Flores, F.; </w:t>
      </w:r>
      <w:proofErr w:type="spellStart"/>
      <w:r w:rsidRPr="0089662C">
        <w:rPr>
          <w:rFonts w:eastAsia="Calibri" w:cs="Arial"/>
          <w:lang w:val="en-US" w:eastAsia="en-US"/>
        </w:rPr>
        <w:t>Bodbodak</w:t>
      </w:r>
      <w:proofErr w:type="spellEnd"/>
      <w:r w:rsidRPr="0089662C">
        <w:rPr>
          <w:rFonts w:eastAsia="Calibri" w:cs="Arial"/>
          <w:lang w:val="en-US" w:eastAsia="en-US"/>
        </w:rPr>
        <w:t xml:space="preserve">, S. (2013). Heat shock proteins as biochemical markers for postharvest chilling stress in fruits and vegetables. </w:t>
      </w:r>
      <w:proofErr w:type="spellStart"/>
      <w:r w:rsidRPr="0089662C">
        <w:rPr>
          <w:rFonts w:eastAsia="Calibri" w:cs="Arial"/>
          <w:lang w:val="en-US" w:eastAsia="en-US"/>
        </w:rPr>
        <w:t>Scientia</w:t>
      </w:r>
      <w:proofErr w:type="spellEnd"/>
      <w:r w:rsidRPr="0089662C">
        <w:rPr>
          <w:rFonts w:eastAsia="Calibri" w:cs="Arial"/>
          <w:lang w:val="en-US" w:eastAsia="en-US"/>
        </w:rPr>
        <w:t xml:space="preserve"> </w:t>
      </w:r>
      <w:proofErr w:type="spellStart"/>
      <w:r w:rsidRPr="0089662C">
        <w:rPr>
          <w:rFonts w:eastAsia="Calibri" w:cs="Arial"/>
          <w:lang w:val="en-US" w:eastAsia="en-US"/>
        </w:rPr>
        <w:t>Horticulturae</w:t>
      </w:r>
      <w:proofErr w:type="spellEnd"/>
      <w:r w:rsidRPr="0089662C">
        <w:rPr>
          <w:rFonts w:eastAsia="Calibri" w:cs="Arial"/>
          <w:lang w:val="en-US" w:eastAsia="en-US"/>
        </w:rPr>
        <w:t xml:space="preserve">, Amsterdam, v. 160, n. 1, p. 54–65. </w:t>
      </w:r>
    </w:p>
    <w:p w:rsidR="0089662C" w:rsidRPr="0089662C" w:rsidRDefault="0089662C" w:rsidP="0089662C">
      <w:pPr>
        <w:numPr>
          <w:ilvl w:val="0"/>
          <w:numId w:val="26"/>
        </w:numPr>
        <w:spacing w:before="0" w:after="0"/>
        <w:ind w:left="426" w:hanging="426"/>
        <w:jc w:val="left"/>
        <w:rPr>
          <w:rFonts w:eastAsia="Calibri" w:cs="Arial"/>
          <w:lang w:eastAsia="en-US"/>
        </w:rPr>
      </w:pPr>
      <w:proofErr w:type="spellStart"/>
      <w:r w:rsidRPr="0089662C">
        <w:rPr>
          <w:rFonts w:eastAsia="Calibri" w:cs="Arial"/>
          <w:lang w:eastAsia="en-US"/>
        </w:rPr>
        <w:t>Castricini</w:t>
      </w:r>
      <w:proofErr w:type="spellEnd"/>
      <w:r w:rsidRPr="0089662C">
        <w:rPr>
          <w:rFonts w:eastAsia="Calibri" w:cs="Arial"/>
          <w:lang w:eastAsia="en-US"/>
        </w:rPr>
        <w:t xml:space="preserve">, A. (2019). </w:t>
      </w:r>
      <w:proofErr w:type="spellStart"/>
      <w:r w:rsidRPr="0089662C">
        <w:rPr>
          <w:rFonts w:eastAsia="Calibri" w:cs="Arial"/>
          <w:lang w:eastAsia="en-US"/>
        </w:rPr>
        <w:t>Aplicação</w:t>
      </w:r>
      <w:proofErr w:type="spellEnd"/>
      <w:r w:rsidRPr="0089662C">
        <w:rPr>
          <w:rFonts w:eastAsia="Calibri" w:cs="Arial"/>
          <w:lang w:eastAsia="en-US"/>
        </w:rPr>
        <w:t xml:space="preserve"> de </w:t>
      </w:r>
      <w:proofErr w:type="spellStart"/>
      <w:r w:rsidRPr="0089662C">
        <w:rPr>
          <w:rFonts w:eastAsia="Calibri" w:cs="Arial"/>
          <w:lang w:eastAsia="en-US"/>
        </w:rPr>
        <w:t>revestimentos</w:t>
      </w:r>
      <w:proofErr w:type="spellEnd"/>
      <w:r w:rsidRPr="0089662C">
        <w:rPr>
          <w:rFonts w:eastAsia="Calibri" w:cs="Arial"/>
          <w:lang w:eastAsia="en-US"/>
        </w:rPr>
        <w:t xml:space="preserve"> </w:t>
      </w:r>
      <w:proofErr w:type="spellStart"/>
      <w:r w:rsidRPr="0089662C">
        <w:rPr>
          <w:rFonts w:eastAsia="Calibri" w:cs="Arial"/>
          <w:lang w:eastAsia="en-US"/>
        </w:rPr>
        <w:t>comestíveis</w:t>
      </w:r>
      <w:proofErr w:type="spellEnd"/>
      <w:r w:rsidRPr="0089662C">
        <w:rPr>
          <w:rFonts w:eastAsia="Calibri" w:cs="Arial"/>
          <w:lang w:eastAsia="en-US"/>
        </w:rPr>
        <w:t xml:space="preserve"> para </w:t>
      </w:r>
      <w:proofErr w:type="spellStart"/>
      <w:r w:rsidRPr="0089662C">
        <w:rPr>
          <w:rFonts w:eastAsia="Calibri" w:cs="Arial"/>
          <w:lang w:eastAsia="en-US"/>
        </w:rPr>
        <w:t>conservação</w:t>
      </w:r>
      <w:proofErr w:type="spellEnd"/>
      <w:r w:rsidRPr="0089662C">
        <w:rPr>
          <w:rFonts w:eastAsia="Calibri" w:cs="Arial"/>
          <w:lang w:eastAsia="en-US"/>
        </w:rPr>
        <w:t xml:space="preserve"> de </w:t>
      </w:r>
      <w:proofErr w:type="spellStart"/>
      <w:r w:rsidRPr="0089662C">
        <w:rPr>
          <w:rFonts w:eastAsia="Calibri" w:cs="Arial"/>
          <w:lang w:eastAsia="en-US"/>
        </w:rPr>
        <w:t>mamões</w:t>
      </w:r>
      <w:proofErr w:type="spellEnd"/>
      <w:r w:rsidRPr="0089662C">
        <w:rPr>
          <w:rFonts w:eastAsia="Calibri" w:cs="Arial"/>
          <w:lang w:eastAsia="en-US"/>
        </w:rPr>
        <w:t xml:space="preserve"> (</w:t>
      </w:r>
      <w:proofErr w:type="spellStart"/>
      <w:r w:rsidRPr="0089662C">
        <w:rPr>
          <w:rFonts w:eastAsia="Calibri" w:cs="Arial"/>
          <w:lang w:eastAsia="en-US"/>
        </w:rPr>
        <w:t>Carica</w:t>
      </w:r>
      <w:proofErr w:type="spellEnd"/>
      <w:r w:rsidRPr="0089662C">
        <w:rPr>
          <w:rFonts w:eastAsia="Calibri" w:cs="Arial"/>
          <w:lang w:eastAsia="en-US"/>
        </w:rPr>
        <w:t xml:space="preserve"> papaya L.) ‘Golden’. Tese (</w:t>
      </w:r>
      <w:proofErr w:type="spellStart"/>
      <w:r w:rsidRPr="0089662C">
        <w:rPr>
          <w:rFonts w:eastAsia="Calibri" w:cs="Arial"/>
          <w:lang w:eastAsia="en-US"/>
        </w:rPr>
        <w:t>Doutorado</w:t>
      </w:r>
      <w:proofErr w:type="spellEnd"/>
      <w:r w:rsidRPr="0089662C">
        <w:rPr>
          <w:rFonts w:eastAsia="Calibri" w:cs="Arial"/>
          <w:lang w:eastAsia="en-US"/>
        </w:rPr>
        <w:t xml:space="preserve"> </w:t>
      </w:r>
      <w:proofErr w:type="spellStart"/>
      <w:r w:rsidRPr="0089662C">
        <w:rPr>
          <w:rFonts w:eastAsia="Calibri" w:cs="Arial"/>
          <w:lang w:eastAsia="en-US"/>
        </w:rPr>
        <w:t>em</w:t>
      </w:r>
      <w:proofErr w:type="spellEnd"/>
      <w:r w:rsidRPr="0089662C">
        <w:rPr>
          <w:rFonts w:eastAsia="Calibri" w:cs="Arial"/>
          <w:lang w:eastAsia="en-US"/>
        </w:rPr>
        <w:t xml:space="preserve"> Fitotecnia). Instituto de </w:t>
      </w:r>
      <w:proofErr w:type="spellStart"/>
      <w:r w:rsidRPr="0089662C">
        <w:rPr>
          <w:rFonts w:eastAsia="Calibri" w:cs="Arial"/>
          <w:lang w:eastAsia="en-US"/>
        </w:rPr>
        <w:t>Agronomia</w:t>
      </w:r>
      <w:proofErr w:type="spellEnd"/>
      <w:r w:rsidRPr="0089662C">
        <w:rPr>
          <w:rFonts w:eastAsia="Calibri" w:cs="Arial"/>
          <w:lang w:eastAsia="en-US"/>
        </w:rPr>
        <w:t xml:space="preserve">, Departamento de Fitotecnia, </w:t>
      </w:r>
      <w:proofErr w:type="spellStart"/>
      <w:r w:rsidRPr="0089662C">
        <w:rPr>
          <w:rFonts w:eastAsia="Calibri" w:cs="Arial"/>
          <w:lang w:eastAsia="en-US"/>
        </w:rPr>
        <w:t>Universidade</w:t>
      </w:r>
      <w:proofErr w:type="spellEnd"/>
      <w:r w:rsidRPr="0089662C">
        <w:rPr>
          <w:rFonts w:eastAsia="Calibri" w:cs="Arial"/>
          <w:lang w:eastAsia="en-US"/>
        </w:rPr>
        <w:t xml:space="preserve"> Federal Rural do Rio de Janeiro, </w:t>
      </w:r>
      <w:proofErr w:type="spellStart"/>
      <w:r w:rsidRPr="0089662C">
        <w:rPr>
          <w:rFonts w:eastAsia="Calibri" w:cs="Arial"/>
          <w:lang w:eastAsia="en-US"/>
        </w:rPr>
        <w:t>Seropédica</w:t>
      </w:r>
      <w:proofErr w:type="spellEnd"/>
      <w:r w:rsidRPr="0089662C">
        <w:rPr>
          <w:rFonts w:eastAsia="Calibri" w:cs="Arial"/>
          <w:lang w:eastAsia="en-US"/>
        </w:rPr>
        <w:t xml:space="preserve">, RJ. p. 117. </w:t>
      </w:r>
    </w:p>
    <w:p w:rsidR="0089662C" w:rsidRPr="0089662C" w:rsidRDefault="0089662C" w:rsidP="0089662C">
      <w:pPr>
        <w:numPr>
          <w:ilvl w:val="0"/>
          <w:numId w:val="26"/>
        </w:numPr>
        <w:spacing w:before="0" w:after="0"/>
        <w:ind w:left="426" w:hanging="426"/>
        <w:jc w:val="left"/>
        <w:rPr>
          <w:rFonts w:eastAsia="Calibri" w:cs="Arial"/>
          <w:lang w:val="en-US" w:eastAsia="en-US"/>
        </w:rPr>
      </w:pPr>
      <w:r w:rsidRPr="0089662C">
        <w:rPr>
          <w:rFonts w:eastAsia="Calibri" w:cs="Arial"/>
          <w:lang w:val="en-US" w:eastAsia="en-US"/>
        </w:rPr>
        <w:t xml:space="preserve">CEAGESP. </w:t>
      </w:r>
      <w:proofErr w:type="spellStart"/>
      <w:r w:rsidRPr="0089662C">
        <w:rPr>
          <w:rFonts w:eastAsia="Calibri" w:cs="Arial"/>
          <w:lang w:val="en-US" w:eastAsia="en-US"/>
        </w:rPr>
        <w:t>Folheto</w:t>
      </w:r>
      <w:proofErr w:type="spellEnd"/>
      <w:r w:rsidRPr="0089662C">
        <w:rPr>
          <w:rFonts w:eastAsia="Calibri" w:cs="Arial"/>
          <w:lang w:val="en-US" w:eastAsia="en-US"/>
        </w:rPr>
        <w:t xml:space="preserve"> </w:t>
      </w:r>
      <w:proofErr w:type="spellStart"/>
      <w:r w:rsidRPr="0089662C">
        <w:rPr>
          <w:rFonts w:eastAsia="Calibri" w:cs="Arial"/>
          <w:lang w:val="en-US" w:eastAsia="en-US"/>
        </w:rPr>
        <w:t>mamão</w:t>
      </w:r>
      <w:proofErr w:type="spellEnd"/>
      <w:r w:rsidRPr="0089662C">
        <w:rPr>
          <w:rFonts w:eastAsia="Calibri" w:cs="Arial"/>
          <w:lang w:val="en-US" w:eastAsia="en-US"/>
        </w:rPr>
        <w:t xml:space="preserve"> </w:t>
      </w:r>
      <w:proofErr w:type="spellStart"/>
      <w:r w:rsidRPr="0089662C">
        <w:rPr>
          <w:rFonts w:eastAsia="Calibri" w:cs="Arial"/>
          <w:lang w:val="en-US" w:eastAsia="en-US"/>
        </w:rPr>
        <w:t>Fotolito</w:t>
      </w:r>
      <w:proofErr w:type="spellEnd"/>
      <w:r w:rsidRPr="0089662C">
        <w:rPr>
          <w:rFonts w:eastAsia="Calibri" w:cs="Arial"/>
          <w:lang w:val="en-US" w:eastAsia="en-US"/>
        </w:rPr>
        <w:t xml:space="preserve"> – </w:t>
      </w:r>
      <w:proofErr w:type="spellStart"/>
      <w:r w:rsidRPr="0089662C">
        <w:rPr>
          <w:rFonts w:eastAsia="Calibri" w:cs="Arial"/>
          <w:lang w:val="en-US" w:eastAsia="en-US"/>
        </w:rPr>
        <w:t>Ceagesp</w:t>
      </w:r>
      <w:proofErr w:type="spellEnd"/>
      <w:r w:rsidRPr="0089662C">
        <w:rPr>
          <w:rFonts w:eastAsia="Calibri" w:cs="Arial"/>
          <w:lang w:val="en-US" w:eastAsia="en-US"/>
        </w:rPr>
        <w:t xml:space="preserve">. (2015). </w:t>
      </w:r>
      <w:proofErr w:type="spellStart"/>
      <w:r w:rsidRPr="0089662C">
        <w:rPr>
          <w:rFonts w:eastAsia="Calibri" w:cs="Arial"/>
          <w:lang w:val="en-US" w:eastAsia="en-US"/>
        </w:rPr>
        <w:t>Disponivel</w:t>
      </w:r>
      <w:proofErr w:type="spellEnd"/>
      <w:r w:rsidRPr="0089662C">
        <w:rPr>
          <w:rFonts w:eastAsia="Calibri" w:cs="Arial"/>
          <w:lang w:val="en-US" w:eastAsia="en-US"/>
        </w:rPr>
        <w:t xml:space="preserve"> </w:t>
      </w:r>
      <w:proofErr w:type="spellStart"/>
      <w:r w:rsidRPr="0089662C">
        <w:rPr>
          <w:rFonts w:eastAsia="Calibri" w:cs="Arial"/>
          <w:lang w:val="en-US" w:eastAsia="en-US"/>
        </w:rPr>
        <w:t>em</w:t>
      </w:r>
      <w:proofErr w:type="spellEnd"/>
      <w:r w:rsidRPr="0089662C">
        <w:rPr>
          <w:rFonts w:eastAsia="Calibri" w:cs="Arial"/>
          <w:lang w:val="en-US" w:eastAsia="en-US"/>
        </w:rPr>
        <w:t xml:space="preserve">: http://www.ceagesp.gov. </w:t>
      </w:r>
      <w:proofErr w:type="spellStart"/>
      <w:proofErr w:type="gramStart"/>
      <w:r w:rsidRPr="0089662C">
        <w:rPr>
          <w:rFonts w:eastAsia="Calibri" w:cs="Arial"/>
          <w:lang w:val="en-US" w:eastAsia="en-US"/>
        </w:rPr>
        <w:t>br</w:t>
      </w:r>
      <w:proofErr w:type="spellEnd"/>
      <w:r w:rsidRPr="0089662C">
        <w:rPr>
          <w:rFonts w:eastAsia="Calibri" w:cs="Arial"/>
          <w:lang w:val="en-US" w:eastAsia="en-US"/>
        </w:rPr>
        <w:t>/</w:t>
      </w:r>
      <w:proofErr w:type="spellStart"/>
      <w:r w:rsidRPr="0089662C">
        <w:rPr>
          <w:rFonts w:eastAsia="Calibri" w:cs="Arial"/>
          <w:lang w:val="en-US" w:eastAsia="en-US"/>
        </w:rPr>
        <w:t>wp</w:t>
      </w:r>
      <w:proofErr w:type="spellEnd"/>
      <w:r w:rsidRPr="0089662C">
        <w:rPr>
          <w:rFonts w:eastAsia="Calibri" w:cs="Arial"/>
          <w:lang w:val="en-US" w:eastAsia="en-US"/>
        </w:rPr>
        <w:t>-content/uploads/2015/07</w:t>
      </w:r>
      <w:proofErr w:type="gramEnd"/>
      <w:r w:rsidRPr="0089662C">
        <w:rPr>
          <w:rFonts w:eastAsia="Calibri" w:cs="Arial"/>
          <w:lang w:val="en-US" w:eastAsia="en-US"/>
        </w:rPr>
        <w:t>/ mamão.pdf &gt;</w:t>
      </w:r>
      <w:proofErr w:type="spellStart"/>
      <w:r w:rsidRPr="0089662C">
        <w:rPr>
          <w:rFonts w:eastAsia="Calibri" w:cs="Arial"/>
          <w:lang w:val="en-US" w:eastAsia="en-US"/>
        </w:rPr>
        <w:t>Acesso</w:t>
      </w:r>
      <w:proofErr w:type="spellEnd"/>
      <w:r w:rsidRPr="0089662C">
        <w:rPr>
          <w:rFonts w:eastAsia="Calibri" w:cs="Arial"/>
          <w:lang w:val="en-US" w:eastAsia="en-US"/>
        </w:rPr>
        <w:t xml:space="preserve"> </w:t>
      </w:r>
      <w:proofErr w:type="spellStart"/>
      <w:r w:rsidRPr="0089662C">
        <w:rPr>
          <w:rFonts w:eastAsia="Calibri" w:cs="Arial"/>
          <w:lang w:val="en-US" w:eastAsia="en-US"/>
        </w:rPr>
        <w:t>em</w:t>
      </w:r>
      <w:proofErr w:type="spellEnd"/>
      <w:r w:rsidRPr="0089662C">
        <w:rPr>
          <w:rFonts w:eastAsia="Calibri" w:cs="Arial"/>
          <w:lang w:val="en-US" w:eastAsia="en-US"/>
        </w:rPr>
        <w:t xml:space="preserve"> </w:t>
      </w:r>
      <w:proofErr w:type="spellStart"/>
      <w:r w:rsidRPr="0089662C">
        <w:rPr>
          <w:rFonts w:eastAsia="Calibri" w:cs="Arial"/>
          <w:lang w:val="en-US" w:eastAsia="en-US"/>
        </w:rPr>
        <w:t>nov.</w:t>
      </w:r>
      <w:proofErr w:type="spellEnd"/>
      <w:r w:rsidRPr="0089662C">
        <w:rPr>
          <w:rFonts w:eastAsia="Calibri" w:cs="Arial"/>
          <w:lang w:val="en-US" w:eastAsia="en-US"/>
        </w:rPr>
        <w:t xml:space="preserve"> 2018.</w:t>
      </w:r>
    </w:p>
    <w:p w:rsidR="0089662C" w:rsidRPr="0089662C" w:rsidRDefault="0089662C" w:rsidP="0089662C">
      <w:pPr>
        <w:numPr>
          <w:ilvl w:val="0"/>
          <w:numId w:val="26"/>
        </w:numPr>
        <w:spacing w:before="0" w:after="0"/>
        <w:ind w:left="426" w:hanging="426"/>
        <w:jc w:val="left"/>
        <w:rPr>
          <w:rFonts w:eastAsia="Calibri" w:cs="Arial"/>
          <w:lang w:eastAsia="en-US"/>
        </w:rPr>
      </w:pPr>
      <w:r w:rsidRPr="0089662C">
        <w:rPr>
          <w:rFonts w:eastAsia="Calibri" w:cs="Arial"/>
          <w:lang w:eastAsia="en-US"/>
        </w:rPr>
        <w:t xml:space="preserve">Chávez S. (2015). Obtención de almidón modificado a partir de tres cultivares de musáceas. </w:t>
      </w:r>
    </w:p>
    <w:p w:rsidR="0089662C" w:rsidRPr="0089662C" w:rsidRDefault="0089662C" w:rsidP="0089662C">
      <w:pPr>
        <w:numPr>
          <w:ilvl w:val="0"/>
          <w:numId w:val="26"/>
        </w:numPr>
        <w:spacing w:before="0" w:after="0"/>
        <w:ind w:left="426" w:hanging="426"/>
        <w:jc w:val="left"/>
        <w:rPr>
          <w:rFonts w:eastAsia="Calibri" w:cs="Arial"/>
          <w:lang w:eastAsia="en-US"/>
        </w:rPr>
      </w:pPr>
      <w:proofErr w:type="spellStart"/>
      <w:r w:rsidRPr="0089662C">
        <w:rPr>
          <w:rFonts w:eastAsia="Calibri" w:cs="Arial"/>
          <w:lang w:val="en-US" w:eastAsia="en-US"/>
        </w:rPr>
        <w:t>Colivet</w:t>
      </w:r>
      <w:proofErr w:type="spellEnd"/>
      <w:r w:rsidRPr="0089662C">
        <w:rPr>
          <w:rFonts w:eastAsia="Calibri" w:cs="Arial"/>
          <w:lang w:val="en-US" w:eastAsia="en-US"/>
        </w:rPr>
        <w:t xml:space="preserve">, J., &amp; </w:t>
      </w:r>
      <w:proofErr w:type="spellStart"/>
      <w:r w:rsidRPr="0089662C">
        <w:rPr>
          <w:rFonts w:eastAsia="Calibri" w:cs="Arial"/>
          <w:lang w:val="en-US" w:eastAsia="en-US"/>
        </w:rPr>
        <w:t>Carvalho</w:t>
      </w:r>
      <w:proofErr w:type="spellEnd"/>
      <w:r w:rsidRPr="0089662C">
        <w:rPr>
          <w:rFonts w:eastAsia="Calibri" w:cs="Arial"/>
          <w:lang w:val="en-US" w:eastAsia="en-US"/>
        </w:rPr>
        <w:t>, R. A. (2017). Hydrophilicity and physicochemical properties of chemically modified cassava starch films. Industrial Crops and Products, 95, 599–</w:t>
      </w:r>
      <w:r w:rsidRPr="0089662C">
        <w:rPr>
          <w:rFonts w:eastAsia="Calibri" w:cs="Arial"/>
          <w:lang w:eastAsia="en-US"/>
        </w:rPr>
        <w:t>607. https://doi.org/10.1016/j.indcrop.2016.11.018</w:t>
      </w:r>
    </w:p>
    <w:p w:rsidR="0089662C" w:rsidRPr="0089662C" w:rsidRDefault="00001A65" w:rsidP="00001A65">
      <w:pPr>
        <w:numPr>
          <w:ilvl w:val="0"/>
          <w:numId w:val="26"/>
        </w:numPr>
        <w:spacing w:before="0" w:after="0"/>
        <w:ind w:left="426" w:hanging="426"/>
        <w:rPr>
          <w:rFonts w:eastAsia="Calibri" w:cs="Arial"/>
          <w:lang w:eastAsia="en-US"/>
        </w:rPr>
      </w:pPr>
      <w:proofErr w:type="spellStart"/>
      <w:r>
        <w:rPr>
          <w:rFonts w:eastAsia="Calibri" w:cs="Arial"/>
          <w:lang w:eastAsia="en-US"/>
        </w:rPr>
        <w:t>Deniz</w:t>
      </w:r>
      <w:proofErr w:type="spellEnd"/>
      <w:r>
        <w:rPr>
          <w:rFonts w:eastAsia="Calibri" w:cs="Arial"/>
          <w:lang w:eastAsia="en-US"/>
        </w:rPr>
        <w:t>, D., Gonzá</w:t>
      </w:r>
      <w:r w:rsidR="0089662C" w:rsidRPr="0089662C">
        <w:rPr>
          <w:rFonts w:eastAsia="Calibri" w:cs="Arial"/>
          <w:lang w:eastAsia="en-US"/>
        </w:rPr>
        <w:t>lez, M. y Mesa, M. (2020). Efecto del almidón de yuca en la conservación de la (Carica papaya L.) en la post-cosecha, Revista Infociencia, Vol.24. No 2 mayo-dic, ISSN 1029-5186.</w:t>
      </w:r>
    </w:p>
    <w:p w:rsidR="0089662C" w:rsidRPr="0089662C" w:rsidRDefault="0089662C" w:rsidP="00001A65">
      <w:pPr>
        <w:numPr>
          <w:ilvl w:val="0"/>
          <w:numId w:val="26"/>
        </w:numPr>
        <w:spacing w:before="0" w:after="0"/>
        <w:ind w:left="426" w:hanging="426"/>
        <w:rPr>
          <w:rFonts w:eastAsia="Calibri" w:cs="Arial"/>
          <w:lang w:eastAsia="en-US"/>
        </w:rPr>
      </w:pPr>
      <w:r w:rsidRPr="0089662C">
        <w:rPr>
          <w:rFonts w:eastAsia="Calibri" w:cs="Arial"/>
          <w:lang w:eastAsia="en-US"/>
        </w:rPr>
        <w:t xml:space="preserve">Fernández, M., </w:t>
      </w:r>
      <w:proofErr w:type="spellStart"/>
      <w:r w:rsidRPr="0089662C">
        <w:rPr>
          <w:rFonts w:eastAsia="Calibri" w:cs="Arial"/>
          <w:lang w:eastAsia="en-US"/>
        </w:rPr>
        <w:t>Echeverria</w:t>
      </w:r>
      <w:proofErr w:type="spellEnd"/>
      <w:r w:rsidRPr="0089662C">
        <w:rPr>
          <w:rFonts w:eastAsia="Calibri" w:cs="Arial"/>
          <w:lang w:eastAsia="en-US"/>
        </w:rPr>
        <w:t xml:space="preserve">, N., Mosquera, A., &amp; Paz, P. (2017). Estado actual del uso de recubrimientos comestibles en frutas y hortalizas – </w:t>
      </w:r>
      <w:proofErr w:type="spellStart"/>
      <w:r w:rsidRPr="0089662C">
        <w:rPr>
          <w:rFonts w:eastAsia="Calibri" w:cs="Arial"/>
          <w:lang w:eastAsia="en-US"/>
        </w:rPr>
        <w:t>Current</w:t>
      </w:r>
      <w:proofErr w:type="spellEnd"/>
      <w:r w:rsidRPr="0089662C">
        <w:rPr>
          <w:rFonts w:eastAsia="Calibri" w:cs="Arial"/>
          <w:lang w:eastAsia="en-US"/>
        </w:rPr>
        <w:t xml:space="preserve"> status of </w:t>
      </w:r>
      <w:proofErr w:type="spellStart"/>
      <w:r w:rsidRPr="0089662C">
        <w:rPr>
          <w:rFonts w:eastAsia="Calibri" w:cs="Arial"/>
          <w:lang w:eastAsia="en-US"/>
        </w:rPr>
        <w:t>the</w:t>
      </w:r>
      <w:proofErr w:type="spellEnd"/>
      <w:r w:rsidRPr="0089662C">
        <w:rPr>
          <w:rFonts w:eastAsia="Calibri" w:cs="Arial"/>
          <w:lang w:eastAsia="en-US"/>
        </w:rPr>
        <w:t xml:space="preserve"> use of </w:t>
      </w:r>
      <w:proofErr w:type="spellStart"/>
      <w:r w:rsidRPr="0089662C">
        <w:rPr>
          <w:rFonts w:eastAsia="Calibri" w:cs="Arial"/>
          <w:lang w:eastAsia="en-US"/>
        </w:rPr>
        <w:t>edible</w:t>
      </w:r>
      <w:proofErr w:type="spellEnd"/>
      <w:r w:rsidRPr="0089662C">
        <w:rPr>
          <w:rFonts w:eastAsia="Calibri" w:cs="Arial"/>
          <w:lang w:eastAsia="en-US"/>
        </w:rPr>
        <w:t xml:space="preserve"> </w:t>
      </w:r>
      <w:proofErr w:type="spellStart"/>
      <w:r w:rsidRPr="0089662C">
        <w:rPr>
          <w:rFonts w:eastAsia="Calibri" w:cs="Arial"/>
          <w:lang w:eastAsia="en-US"/>
        </w:rPr>
        <w:t>coatings</w:t>
      </w:r>
      <w:proofErr w:type="spellEnd"/>
      <w:r w:rsidRPr="0089662C">
        <w:rPr>
          <w:rFonts w:eastAsia="Calibri" w:cs="Arial"/>
          <w:lang w:eastAsia="en-US"/>
        </w:rPr>
        <w:t xml:space="preserve"> in </w:t>
      </w:r>
      <w:proofErr w:type="spellStart"/>
      <w:r w:rsidRPr="0089662C">
        <w:rPr>
          <w:rFonts w:eastAsia="Calibri" w:cs="Arial"/>
          <w:lang w:eastAsia="en-US"/>
        </w:rPr>
        <w:t>fruit</w:t>
      </w:r>
      <w:proofErr w:type="spellEnd"/>
      <w:r w:rsidRPr="0089662C">
        <w:rPr>
          <w:rFonts w:eastAsia="Calibri" w:cs="Arial"/>
          <w:lang w:eastAsia="en-US"/>
        </w:rPr>
        <w:t xml:space="preserve"> and vegetables. Biotecnología en el Sector Agropecuario y Agroindustrial, 15(2), 134–141. https://doi.org/10.18684/BSAA(15)134-141</w:t>
      </w:r>
    </w:p>
    <w:p w:rsidR="0089662C" w:rsidRPr="0089662C" w:rsidRDefault="0089662C" w:rsidP="00001A65">
      <w:pPr>
        <w:numPr>
          <w:ilvl w:val="0"/>
          <w:numId w:val="26"/>
        </w:numPr>
        <w:spacing w:before="0" w:after="0"/>
        <w:ind w:left="426" w:hanging="426"/>
        <w:rPr>
          <w:rFonts w:eastAsia="Calibri" w:cs="Arial"/>
          <w:lang w:eastAsia="en-US"/>
        </w:rPr>
      </w:pPr>
      <w:r w:rsidRPr="0089662C">
        <w:rPr>
          <w:rFonts w:eastAsia="Calibri" w:cs="Arial"/>
          <w:lang w:eastAsia="en-US"/>
        </w:rPr>
        <w:t xml:space="preserve">Pereira, M.; Silva, A.; Bispo, A.; Santos, D.; Santos, S.; Santos, V. (2016). </w:t>
      </w:r>
      <w:proofErr w:type="spellStart"/>
      <w:r w:rsidRPr="0089662C">
        <w:rPr>
          <w:rFonts w:eastAsia="Calibri" w:cs="Arial"/>
          <w:lang w:eastAsia="en-US"/>
        </w:rPr>
        <w:t>Amadurecimento</w:t>
      </w:r>
      <w:proofErr w:type="spellEnd"/>
      <w:r w:rsidRPr="0089662C">
        <w:rPr>
          <w:rFonts w:eastAsia="Calibri" w:cs="Arial"/>
          <w:lang w:eastAsia="en-US"/>
        </w:rPr>
        <w:t xml:space="preserve"> de </w:t>
      </w:r>
      <w:proofErr w:type="spellStart"/>
      <w:r w:rsidRPr="0089662C">
        <w:rPr>
          <w:rFonts w:eastAsia="Calibri" w:cs="Arial"/>
          <w:lang w:eastAsia="en-US"/>
        </w:rPr>
        <w:t>mamão</w:t>
      </w:r>
      <w:proofErr w:type="spellEnd"/>
      <w:r w:rsidRPr="0089662C">
        <w:rPr>
          <w:rFonts w:eastAsia="Calibri" w:cs="Arial"/>
          <w:lang w:eastAsia="en-US"/>
        </w:rPr>
        <w:t xml:space="preserve"> </w:t>
      </w:r>
      <w:proofErr w:type="spellStart"/>
      <w:r w:rsidRPr="0089662C">
        <w:rPr>
          <w:rFonts w:eastAsia="Calibri" w:cs="Arial"/>
          <w:lang w:eastAsia="en-US"/>
        </w:rPr>
        <w:t>formosa</w:t>
      </w:r>
      <w:proofErr w:type="spellEnd"/>
      <w:r w:rsidRPr="0089662C">
        <w:rPr>
          <w:rFonts w:eastAsia="Calibri" w:cs="Arial"/>
          <w:lang w:eastAsia="en-US"/>
        </w:rPr>
        <w:t xml:space="preserve"> </w:t>
      </w:r>
      <w:proofErr w:type="spellStart"/>
      <w:r w:rsidRPr="0089662C">
        <w:rPr>
          <w:rFonts w:eastAsia="Calibri" w:cs="Arial"/>
          <w:lang w:eastAsia="en-US"/>
        </w:rPr>
        <w:t>com</w:t>
      </w:r>
      <w:proofErr w:type="spellEnd"/>
      <w:r w:rsidRPr="0089662C">
        <w:rPr>
          <w:rFonts w:eastAsia="Calibri" w:cs="Arial"/>
          <w:lang w:eastAsia="en-US"/>
        </w:rPr>
        <w:t xml:space="preserve"> </w:t>
      </w:r>
      <w:proofErr w:type="spellStart"/>
      <w:r w:rsidRPr="0089662C">
        <w:rPr>
          <w:rFonts w:eastAsia="Calibri" w:cs="Arial"/>
          <w:lang w:eastAsia="en-US"/>
        </w:rPr>
        <w:t>revestimento</w:t>
      </w:r>
      <w:proofErr w:type="spellEnd"/>
      <w:r w:rsidRPr="0089662C">
        <w:rPr>
          <w:rFonts w:eastAsia="Calibri" w:cs="Arial"/>
          <w:lang w:eastAsia="en-US"/>
        </w:rPr>
        <w:t xml:space="preserve"> </w:t>
      </w:r>
      <w:proofErr w:type="spellStart"/>
      <w:r w:rsidRPr="0089662C">
        <w:rPr>
          <w:rFonts w:eastAsia="Calibri" w:cs="Arial"/>
          <w:lang w:eastAsia="en-US"/>
        </w:rPr>
        <w:t>comestível</w:t>
      </w:r>
      <w:proofErr w:type="spellEnd"/>
      <w:r w:rsidRPr="0089662C">
        <w:rPr>
          <w:rFonts w:eastAsia="Calibri" w:cs="Arial"/>
          <w:lang w:eastAsia="en-US"/>
        </w:rPr>
        <w:t xml:space="preserve"> à ase de fécula de mandioca. </w:t>
      </w:r>
      <w:proofErr w:type="spellStart"/>
      <w:r w:rsidRPr="0089662C">
        <w:rPr>
          <w:rFonts w:eastAsia="Calibri" w:cs="Arial"/>
          <w:lang w:eastAsia="en-US"/>
        </w:rPr>
        <w:t>Ciência</w:t>
      </w:r>
      <w:proofErr w:type="spellEnd"/>
      <w:r w:rsidRPr="0089662C">
        <w:rPr>
          <w:rFonts w:eastAsia="Calibri" w:cs="Arial"/>
          <w:lang w:eastAsia="en-US"/>
        </w:rPr>
        <w:t xml:space="preserve"> e </w:t>
      </w:r>
      <w:proofErr w:type="spellStart"/>
      <w:r w:rsidRPr="0089662C">
        <w:rPr>
          <w:rFonts w:eastAsia="Calibri" w:cs="Arial"/>
          <w:lang w:eastAsia="en-US"/>
        </w:rPr>
        <w:t>Agrotecnologia</w:t>
      </w:r>
      <w:proofErr w:type="spellEnd"/>
      <w:r w:rsidRPr="0089662C">
        <w:rPr>
          <w:rFonts w:eastAsia="Calibri" w:cs="Arial"/>
          <w:lang w:eastAsia="en-US"/>
        </w:rPr>
        <w:t xml:space="preserve">, </w:t>
      </w:r>
      <w:proofErr w:type="spellStart"/>
      <w:r w:rsidRPr="0089662C">
        <w:rPr>
          <w:rFonts w:eastAsia="Calibri" w:cs="Arial"/>
          <w:lang w:eastAsia="en-US"/>
        </w:rPr>
        <w:t>Lavras</w:t>
      </w:r>
      <w:proofErr w:type="spellEnd"/>
      <w:r w:rsidRPr="0089662C">
        <w:rPr>
          <w:rFonts w:eastAsia="Calibri" w:cs="Arial"/>
          <w:lang w:eastAsia="en-US"/>
        </w:rPr>
        <w:t>, v.30, n.6, p. 1116 -1119.</w:t>
      </w:r>
    </w:p>
    <w:p w:rsidR="0089662C" w:rsidRPr="0089662C" w:rsidRDefault="0089662C" w:rsidP="00001A65">
      <w:pPr>
        <w:numPr>
          <w:ilvl w:val="0"/>
          <w:numId w:val="26"/>
        </w:numPr>
        <w:spacing w:before="0" w:after="0"/>
        <w:ind w:left="426" w:hanging="426"/>
        <w:rPr>
          <w:rFonts w:eastAsia="Calibri" w:cs="Arial"/>
          <w:lang w:eastAsia="en-US"/>
        </w:rPr>
      </w:pPr>
      <w:r w:rsidRPr="0089662C">
        <w:rPr>
          <w:rFonts w:eastAsia="Calibri" w:cs="Arial"/>
          <w:lang w:eastAsia="en-US"/>
        </w:rPr>
        <w:t xml:space="preserve">Pinto, L.; </w:t>
      </w:r>
      <w:proofErr w:type="spellStart"/>
      <w:r w:rsidRPr="0089662C">
        <w:rPr>
          <w:rFonts w:eastAsia="Calibri" w:cs="Arial"/>
          <w:lang w:eastAsia="en-US"/>
        </w:rPr>
        <w:t>Martins</w:t>
      </w:r>
      <w:proofErr w:type="spellEnd"/>
      <w:r w:rsidRPr="0089662C">
        <w:rPr>
          <w:rFonts w:eastAsia="Calibri" w:cs="Arial"/>
          <w:lang w:eastAsia="en-US"/>
        </w:rPr>
        <w:t xml:space="preserve">, M.; </w:t>
      </w:r>
      <w:proofErr w:type="spellStart"/>
      <w:r w:rsidRPr="0089662C">
        <w:rPr>
          <w:rFonts w:eastAsia="Calibri" w:cs="Arial"/>
          <w:lang w:eastAsia="en-US"/>
        </w:rPr>
        <w:t>Resende</w:t>
      </w:r>
      <w:proofErr w:type="spellEnd"/>
      <w:r w:rsidRPr="0089662C">
        <w:rPr>
          <w:rFonts w:eastAsia="Calibri" w:cs="Arial"/>
          <w:lang w:eastAsia="en-US"/>
        </w:rPr>
        <w:t xml:space="preserve">, E; Almeida, R.; </w:t>
      </w:r>
      <w:proofErr w:type="spellStart"/>
      <w:r w:rsidRPr="0089662C">
        <w:rPr>
          <w:rFonts w:eastAsia="Calibri" w:cs="Arial"/>
          <w:lang w:eastAsia="en-US"/>
        </w:rPr>
        <w:t>Vitorazi</w:t>
      </w:r>
      <w:proofErr w:type="spellEnd"/>
      <w:r w:rsidRPr="0089662C">
        <w:rPr>
          <w:rFonts w:eastAsia="Calibri" w:cs="Arial"/>
          <w:lang w:eastAsia="en-US"/>
        </w:rPr>
        <w:t xml:space="preserve">, L. </w:t>
      </w:r>
      <w:proofErr w:type="spellStart"/>
      <w:r w:rsidRPr="0089662C">
        <w:rPr>
          <w:rFonts w:eastAsia="Calibri" w:cs="Arial"/>
          <w:lang w:eastAsia="en-US"/>
        </w:rPr>
        <w:t>e</w:t>
      </w:r>
      <w:proofErr w:type="spellEnd"/>
      <w:r w:rsidRPr="0089662C">
        <w:rPr>
          <w:rFonts w:eastAsia="Calibri" w:cs="Arial"/>
          <w:lang w:eastAsia="en-US"/>
        </w:rPr>
        <w:t xml:space="preserve"> Pereira, S. (2016). </w:t>
      </w:r>
      <w:proofErr w:type="spellStart"/>
      <w:r w:rsidRPr="0089662C">
        <w:rPr>
          <w:rFonts w:eastAsia="Calibri" w:cs="Arial"/>
          <w:lang w:eastAsia="en-US"/>
        </w:rPr>
        <w:t>Influência</w:t>
      </w:r>
      <w:proofErr w:type="spellEnd"/>
      <w:r w:rsidRPr="0089662C">
        <w:rPr>
          <w:rFonts w:eastAsia="Calibri" w:cs="Arial"/>
          <w:lang w:eastAsia="en-US"/>
        </w:rPr>
        <w:t xml:space="preserve"> da atmosfera modificada por filmes plásticos sobre a </w:t>
      </w:r>
      <w:proofErr w:type="spellStart"/>
      <w:r w:rsidRPr="0089662C">
        <w:rPr>
          <w:rFonts w:eastAsia="Calibri" w:cs="Arial"/>
          <w:lang w:eastAsia="en-US"/>
        </w:rPr>
        <w:t>qualidade</w:t>
      </w:r>
      <w:proofErr w:type="spellEnd"/>
      <w:r w:rsidRPr="0089662C">
        <w:rPr>
          <w:rFonts w:eastAsia="Calibri" w:cs="Arial"/>
          <w:lang w:eastAsia="en-US"/>
        </w:rPr>
        <w:t xml:space="preserve"> do </w:t>
      </w:r>
      <w:proofErr w:type="spellStart"/>
      <w:r w:rsidRPr="0089662C">
        <w:rPr>
          <w:rFonts w:eastAsia="Calibri" w:cs="Arial"/>
          <w:lang w:eastAsia="en-US"/>
        </w:rPr>
        <w:t>mamão</w:t>
      </w:r>
      <w:proofErr w:type="spellEnd"/>
      <w:r w:rsidRPr="0089662C">
        <w:rPr>
          <w:rFonts w:eastAsia="Calibri" w:cs="Arial"/>
          <w:lang w:eastAsia="en-US"/>
        </w:rPr>
        <w:t xml:space="preserve"> </w:t>
      </w:r>
      <w:proofErr w:type="spellStart"/>
      <w:r w:rsidRPr="0089662C">
        <w:rPr>
          <w:rFonts w:eastAsia="Calibri" w:cs="Arial"/>
          <w:lang w:eastAsia="en-US"/>
        </w:rPr>
        <w:t>armazenado</w:t>
      </w:r>
      <w:proofErr w:type="spellEnd"/>
      <w:r w:rsidRPr="0089662C">
        <w:rPr>
          <w:rFonts w:eastAsia="Calibri" w:cs="Arial"/>
          <w:lang w:eastAsia="en-US"/>
        </w:rPr>
        <w:t xml:space="preserve"> </w:t>
      </w:r>
      <w:proofErr w:type="spellStart"/>
      <w:r w:rsidRPr="0089662C">
        <w:rPr>
          <w:rFonts w:eastAsia="Calibri" w:cs="Arial"/>
          <w:lang w:eastAsia="en-US"/>
        </w:rPr>
        <w:t>sob</w:t>
      </w:r>
      <w:proofErr w:type="spellEnd"/>
      <w:r w:rsidRPr="0089662C">
        <w:rPr>
          <w:rFonts w:eastAsia="Calibri" w:cs="Arial"/>
          <w:lang w:eastAsia="en-US"/>
        </w:rPr>
        <w:t xml:space="preserve"> </w:t>
      </w:r>
      <w:proofErr w:type="spellStart"/>
      <w:r w:rsidRPr="0089662C">
        <w:rPr>
          <w:rFonts w:eastAsia="Calibri" w:cs="Arial"/>
          <w:lang w:eastAsia="en-US"/>
        </w:rPr>
        <w:t>refrigeração</w:t>
      </w:r>
      <w:proofErr w:type="spellEnd"/>
      <w:r w:rsidRPr="0089662C">
        <w:rPr>
          <w:rFonts w:eastAsia="Calibri" w:cs="Arial"/>
          <w:lang w:eastAsia="en-US"/>
        </w:rPr>
        <w:t xml:space="preserve">. </w:t>
      </w:r>
      <w:proofErr w:type="spellStart"/>
      <w:r w:rsidRPr="0089662C">
        <w:rPr>
          <w:rFonts w:eastAsia="Calibri" w:cs="Arial"/>
          <w:lang w:eastAsia="en-US"/>
        </w:rPr>
        <w:t>Ciência</w:t>
      </w:r>
      <w:proofErr w:type="spellEnd"/>
      <w:r w:rsidRPr="0089662C">
        <w:rPr>
          <w:rFonts w:eastAsia="Calibri" w:cs="Arial"/>
          <w:lang w:eastAsia="en-US"/>
        </w:rPr>
        <w:t xml:space="preserve"> e </w:t>
      </w:r>
      <w:proofErr w:type="spellStart"/>
      <w:r w:rsidRPr="0089662C">
        <w:rPr>
          <w:rFonts w:eastAsia="Calibri" w:cs="Arial"/>
          <w:lang w:eastAsia="en-US"/>
        </w:rPr>
        <w:t>Tecnologia</w:t>
      </w:r>
      <w:proofErr w:type="spellEnd"/>
      <w:r w:rsidRPr="0089662C">
        <w:rPr>
          <w:rFonts w:eastAsia="Calibri" w:cs="Arial"/>
          <w:lang w:eastAsia="en-US"/>
        </w:rPr>
        <w:t xml:space="preserve"> de Alimentos (</w:t>
      </w:r>
      <w:proofErr w:type="spellStart"/>
      <w:r w:rsidRPr="0089662C">
        <w:rPr>
          <w:rFonts w:eastAsia="Calibri" w:cs="Arial"/>
          <w:lang w:eastAsia="en-US"/>
        </w:rPr>
        <w:t>Brazil</w:t>
      </w:r>
      <w:proofErr w:type="spellEnd"/>
      <w:r w:rsidRPr="0089662C">
        <w:rPr>
          <w:rFonts w:eastAsia="Calibri" w:cs="Arial"/>
          <w:lang w:eastAsia="en-US"/>
        </w:rPr>
        <w:t>).  26(4): p.744-748.</w:t>
      </w:r>
    </w:p>
    <w:p w:rsidR="0089662C" w:rsidRPr="0089662C" w:rsidRDefault="0089662C" w:rsidP="00001A65">
      <w:pPr>
        <w:numPr>
          <w:ilvl w:val="0"/>
          <w:numId w:val="26"/>
        </w:numPr>
        <w:spacing w:before="0" w:after="0"/>
        <w:ind w:left="426" w:hanging="426"/>
        <w:rPr>
          <w:rFonts w:eastAsia="Calibri" w:cs="Arial"/>
          <w:lang w:val="en-US" w:eastAsia="en-US"/>
        </w:rPr>
      </w:pPr>
      <w:proofErr w:type="spellStart"/>
      <w:r w:rsidRPr="0089662C">
        <w:rPr>
          <w:rFonts w:eastAsia="Calibri" w:cs="Arial"/>
          <w:lang w:eastAsia="en-US"/>
        </w:rPr>
        <w:lastRenderedPageBreak/>
        <w:t>Podshivalov</w:t>
      </w:r>
      <w:proofErr w:type="spellEnd"/>
      <w:r w:rsidRPr="0089662C">
        <w:rPr>
          <w:rFonts w:eastAsia="Calibri" w:cs="Arial"/>
          <w:lang w:eastAsia="en-US"/>
        </w:rPr>
        <w:t xml:space="preserve">, A., </w:t>
      </w:r>
      <w:proofErr w:type="spellStart"/>
      <w:r w:rsidRPr="0089662C">
        <w:rPr>
          <w:rFonts w:eastAsia="Calibri" w:cs="Arial"/>
          <w:lang w:eastAsia="en-US"/>
        </w:rPr>
        <w:t>Zakharova</w:t>
      </w:r>
      <w:proofErr w:type="spellEnd"/>
      <w:r w:rsidRPr="0089662C">
        <w:rPr>
          <w:rFonts w:eastAsia="Calibri" w:cs="Arial"/>
          <w:lang w:eastAsia="en-US"/>
        </w:rPr>
        <w:t xml:space="preserve">, M., </w:t>
      </w:r>
      <w:proofErr w:type="spellStart"/>
      <w:r w:rsidRPr="0089662C">
        <w:rPr>
          <w:rFonts w:eastAsia="Calibri" w:cs="Arial"/>
          <w:lang w:eastAsia="en-US"/>
        </w:rPr>
        <w:t>Glazacheva</w:t>
      </w:r>
      <w:proofErr w:type="spellEnd"/>
      <w:r w:rsidRPr="0089662C">
        <w:rPr>
          <w:rFonts w:eastAsia="Calibri" w:cs="Arial"/>
          <w:lang w:eastAsia="en-US"/>
        </w:rPr>
        <w:t xml:space="preserve">, E., &amp; </w:t>
      </w:r>
      <w:proofErr w:type="spellStart"/>
      <w:r w:rsidRPr="0089662C">
        <w:rPr>
          <w:rFonts w:eastAsia="Calibri" w:cs="Arial"/>
          <w:lang w:eastAsia="en-US"/>
        </w:rPr>
        <w:t>Uspenskaya</w:t>
      </w:r>
      <w:proofErr w:type="spellEnd"/>
      <w:r w:rsidRPr="0089662C">
        <w:rPr>
          <w:rFonts w:eastAsia="Calibri" w:cs="Arial"/>
          <w:lang w:eastAsia="en-US"/>
        </w:rPr>
        <w:t xml:space="preserve">, M. (2017). </w:t>
      </w:r>
      <w:r w:rsidRPr="0089662C">
        <w:rPr>
          <w:rFonts w:eastAsia="Calibri" w:cs="Arial"/>
          <w:lang w:val="en-US" w:eastAsia="en-US"/>
        </w:rPr>
        <w:t xml:space="preserve">Gelatin/potato starch edible </w:t>
      </w:r>
      <w:proofErr w:type="spellStart"/>
      <w:r w:rsidRPr="0089662C">
        <w:rPr>
          <w:rFonts w:eastAsia="Calibri" w:cs="Arial"/>
          <w:lang w:val="en-US" w:eastAsia="en-US"/>
        </w:rPr>
        <w:t>biocomposite</w:t>
      </w:r>
      <w:proofErr w:type="spellEnd"/>
      <w:r w:rsidRPr="0089662C">
        <w:rPr>
          <w:rFonts w:eastAsia="Calibri" w:cs="Arial"/>
          <w:lang w:val="en-US" w:eastAsia="en-US"/>
        </w:rPr>
        <w:t xml:space="preserve"> films: Correlation between morphology and physical properties. Carbohydrate Polymers. https://doi.org/10.1016/j.carbpol.2016.10.079</w:t>
      </w:r>
    </w:p>
    <w:p w:rsidR="0089662C" w:rsidRPr="0089662C" w:rsidRDefault="0089662C" w:rsidP="00001A65">
      <w:pPr>
        <w:numPr>
          <w:ilvl w:val="0"/>
          <w:numId w:val="26"/>
        </w:numPr>
        <w:spacing w:before="0" w:after="0"/>
        <w:ind w:left="426" w:hanging="426"/>
        <w:rPr>
          <w:rFonts w:eastAsia="Calibri" w:cs="Arial"/>
          <w:lang w:val="en-US" w:eastAsia="en-US"/>
        </w:rPr>
      </w:pPr>
      <w:r w:rsidRPr="0089662C">
        <w:rPr>
          <w:rFonts w:eastAsia="Calibri" w:cs="Arial"/>
          <w:lang w:val="en-US" w:eastAsia="en-US"/>
        </w:rPr>
        <w:t xml:space="preserve">Song, X., </w:t>
      </w:r>
      <w:proofErr w:type="spellStart"/>
      <w:r w:rsidRPr="0089662C">
        <w:rPr>
          <w:rFonts w:eastAsia="Calibri" w:cs="Arial"/>
          <w:lang w:val="en-US" w:eastAsia="en-US"/>
        </w:rPr>
        <w:t>Zuo</w:t>
      </w:r>
      <w:proofErr w:type="spellEnd"/>
      <w:r w:rsidRPr="0089662C">
        <w:rPr>
          <w:rFonts w:eastAsia="Calibri" w:cs="Arial"/>
          <w:lang w:val="en-US" w:eastAsia="en-US"/>
        </w:rPr>
        <w:t>, G., &amp; Chen, F. (2018). Effect of essential oil and surfactant on the physical and antimicrobial properties of corn and wheat starch films. International Journal of Biological Macromolecules. https://doi.org/10.1016/j.ijbiomac.2017.09.114</w:t>
      </w:r>
    </w:p>
    <w:p w:rsidR="006F4691" w:rsidRPr="0052681F" w:rsidRDefault="006F4691" w:rsidP="0089662C">
      <w:pPr>
        <w:pStyle w:val="YAYABO-References"/>
        <w:numPr>
          <w:ilvl w:val="0"/>
          <w:numId w:val="0"/>
        </w:numPr>
        <w:ind w:left="360" w:hanging="360"/>
        <w:rPr>
          <w:lang w:val="en-US"/>
        </w:rPr>
      </w:pPr>
    </w:p>
    <w:sectPr w:rsidR="006F4691" w:rsidRPr="0052681F" w:rsidSect="00B54B95">
      <w:headerReference w:type="default" r:id="rId19"/>
      <w:footerReference w:type="default" r:id="rId20"/>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6D" w:rsidRDefault="00A5796D" w:rsidP="00276F63">
      <w:pPr>
        <w:spacing w:before="0" w:after="0" w:line="240" w:lineRule="auto"/>
      </w:pPr>
      <w:r>
        <w:separator/>
      </w:r>
    </w:p>
  </w:endnote>
  <w:endnote w:type="continuationSeparator" w:id="0">
    <w:p w:rsidR="00A5796D" w:rsidRDefault="00A5796D"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álic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99" w:rsidRDefault="00860A99">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6D" w:rsidRDefault="00A5796D" w:rsidP="00276F63">
      <w:pPr>
        <w:spacing w:before="0" w:after="0" w:line="240" w:lineRule="auto"/>
      </w:pPr>
      <w:r>
        <w:separator/>
      </w:r>
    </w:p>
  </w:footnote>
  <w:footnote w:type="continuationSeparator" w:id="0">
    <w:p w:rsidR="00A5796D" w:rsidRDefault="00A5796D"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99" w:rsidRDefault="00860A99">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0A99" w:rsidRDefault="00860A99">
    <w:pPr>
      <w:pStyle w:val="Encabezado"/>
    </w:pPr>
  </w:p>
  <w:p w:rsidR="00860A99" w:rsidRPr="009567D5" w:rsidRDefault="00860A99"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860A99" w:rsidRPr="009567D5" w:rsidRDefault="00860A99"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91465"/>
    <w:multiLevelType w:val="hybridMultilevel"/>
    <w:tmpl w:val="BA2E01C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A933B07"/>
    <w:multiLevelType w:val="hybridMultilevel"/>
    <w:tmpl w:val="7E14249C"/>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A182083"/>
    <w:multiLevelType w:val="hybridMultilevel"/>
    <w:tmpl w:val="E4A0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8C65A5"/>
    <w:multiLevelType w:val="hybridMultilevel"/>
    <w:tmpl w:val="86783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BEE34BE"/>
    <w:multiLevelType w:val="hybridMultilevel"/>
    <w:tmpl w:val="1C98386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3"/>
  </w:num>
  <w:num w:numId="3">
    <w:abstractNumId w:val="16"/>
  </w:num>
  <w:num w:numId="4">
    <w:abstractNumId w:val="3"/>
  </w:num>
  <w:num w:numId="5">
    <w:abstractNumId w:val="9"/>
  </w:num>
  <w:num w:numId="6">
    <w:abstractNumId w:val="8"/>
  </w:num>
  <w:num w:numId="7">
    <w:abstractNumId w:val="4"/>
  </w:num>
  <w:num w:numId="8">
    <w:abstractNumId w:val="11"/>
  </w:num>
  <w:num w:numId="9">
    <w:abstractNumId w:val="18"/>
  </w:num>
  <w:num w:numId="10">
    <w:abstractNumId w:val="15"/>
  </w:num>
  <w:num w:numId="11">
    <w:abstractNumId w:val="5"/>
  </w:num>
  <w:num w:numId="12">
    <w:abstractNumId w:val="12"/>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24"/>
  </w:num>
  <w:num w:numId="21">
    <w:abstractNumId w:val="21"/>
  </w:num>
  <w:num w:numId="22">
    <w:abstractNumId w:val="23"/>
  </w:num>
  <w:num w:numId="23">
    <w:abstractNumId w:val="22"/>
  </w:num>
  <w:num w:numId="24">
    <w:abstractNumId w:val="10"/>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01A65"/>
    <w:rsid w:val="00014951"/>
    <w:rsid w:val="000C0FA7"/>
    <w:rsid w:val="000F2BCE"/>
    <w:rsid w:val="0016335B"/>
    <w:rsid w:val="001B5E0C"/>
    <w:rsid w:val="001C6DF3"/>
    <w:rsid w:val="00276F63"/>
    <w:rsid w:val="002925ED"/>
    <w:rsid w:val="002940C8"/>
    <w:rsid w:val="00296E8C"/>
    <w:rsid w:val="002C3A8F"/>
    <w:rsid w:val="0031795D"/>
    <w:rsid w:val="00343D0E"/>
    <w:rsid w:val="00381ED9"/>
    <w:rsid w:val="004728EF"/>
    <w:rsid w:val="004A3113"/>
    <w:rsid w:val="004B34A5"/>
    <w:rsid w:val="004F75CB"/>
    <w:rsid w:val="005076D1"/>
    <w:rsid w:val="005265ED"/>
    <w:rsid w:val="0052681F"/>
    <w:rsid w:val="00553793"/>
    <w:rsid w:val="0055506B"/>
    <w:rsid w:val="005625DB"/>
    <w:rsid w:val="005B747F"/>
    <w:rsid w:val="00653C2D"/>
    <w:rsid w:val="006952E9"/>
    <w:rsid w:val="00697910"/>
    <w:rsid w:val="006C4816"/>
    <w:rsid w:val="006F4691"/>
    <w:rsid w:val="00700DF8"/>
    <w:rsid w:val="00715A1F"/>
    <w:rsid w:val="0072737C"/>
    <w:rsid w:val="007403FC"/>
    <w:rsid w:val="00742B3E"/>
    <w:rsid w:val="007E43F4"/>
    <w:rsid w:val="008018BC"/>
    <w:rsid w:val="00860A99"/>
    <w:rsid w:val="00893195"/>
    <w:rsid w:val="0089662C"/>
    <w:rsid w:val="008A4CFA"/>
    <w:rsid w:val="009016FB"/>
    <w:rsid w:val="0092109E"/>
    <w:rsid w:val="00927599"/>
    <w:rsid w:val="009567D5"/>
    <w:rsid w:val="00A001C1"/>
    <w:rsid w:val="00A435F1"/>
    <w:rsid w:val="00A5796D"/>
    <w:rsid w:val="00B54B95"/>
    <w:rsid w:val="00B74E79"/>
    <w:rsid w:val="00B80EBE"/>
    <w:rsid w:val="00B81488"/>
    <w:rsid w:val="00B818E8"/>
    <w:rsid w:val="00C705E4"/>
    <w:rsid w:val="00C71015"/>
    <w:rsid w:val="00C75363"/>
    <w:rsid w:val="00C82C6A"/>
    <w:rsid w:val="00CE7444"/>
    <w:rsid w:val="00D05D7E"/>
    <w:rsid w:val="00D83261"/>
    <w:rsid w:val="00DC2840"/>
    <w:rsid w:val="00DC562A"/>
    <w:rsid w:val="00E73C99"/>
    <w:rsid w:val="00EA7DE3"/>
    <w:rsid w:val="00ED1EAE"/>
    <w:rsid w:val="00F31D6A"/>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E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uiPriority w:val="99"/>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276F63"/>
    <w:rPr>
      <w:rFonts w:ascii="Arial" w:hAnsi="Arial"/>
      <w:sz w:val="24"/>
      <w:szCs w:val="24"/>
      <w:lang w:val="es-ES" w:eastAsia="es-ES"/>
    </w:rPr>
  </w:style>
  <w:style w:type="paragraph" w:styleId="Piedepgina">
    <w:name w:val="footer"/>
    <w:basedOn w:val="Normal"/>
    <w:link w:val="PiedepginaCar"/>
    <w:uiPriority w:val="99"/>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276F63"/>
    <w:rPr>
      <w:rFonts w:ascii="Arial" w:hAnsi="Arial"/>
      <w:sz w:val="24"/>
      <w:szCs w:val="24"/>
      <w:lang w:val="es-ES" w:eastAsia="es-ES"/>
    </w:rPr>
  </w:style>
  <w:style w:type="numbering" w:customStyle="1" w:styleId="Sinlista1">
    <w:name w:val="Sin lista1"/>
    <w:next w:val="Sinlista"/>
    <w:uiPriority w:val="99"/>
    <w:semiHidden/>
    <w:unhideWhenUsed/>
    <w:rsid w:val="0089662C"/>
  </w:style>
  <w:style w:type="table" w:styleId="Tablaconcuadrcula">
    <w:name w:val="Table Grid"/>
    <w:basedOn w:val="Tablanormal"/>
    <w:uiPriority w:val="39"/>
    <w:rsid w:val="0089662C"/>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662C"/>
    <w:pPr>
      <w:spacing w:before="0" w:after="160" w:line="259" w:lineRule="auto"/>
      <w:ind w:left="720"/>
      <w:contextualSpacing/>
      <w:jc w:val="left"/>
    </w:pPr>
    <w:rPr>
      <w:rFonts w:ascii="Calibri" w:eastAsia="Calibri" w:hAnsi="Calibri"/>
      <w:sz w:val="22"/>
      <w:szCs w:val="22"/>
      <w:lang w:eastAsia="en-US"/>
    </w:rPr>
  </w:style>
  <w:style w:type="character" w:styleId="Hipervnculo">
    <w:name w:val="Hyperlink"/>
    <w:uiPriority w:val="99"/>
    <w:unhideWhenUsed/>
    <w:rsid w:val="0089662C"/>
    <w:rPr>
      <w:color w:val="0563C1"/>
      <w:u w:val="single"/>
    </w:rPr>
  </w:style>
  <w:style w:type="paragraph" w:styleId="Textodeglobo">
    <w:name w:val="Balloon Text"/>
    <w:basedOn w:val="Normal"/>
    <w:link w:val="TextodegloboCar"/>
    <w:rsid w:val="0089662C"/>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9662C"/>
    <w:rPr>
      <w:rFonts w:ascii="Tahoma" w:hAnsi="Tahoma" w:cs="Tahoma"/>
      <w:sz w:val="16"/>
      <w:szCs w:val="16"/>
      <w:lang w:val="es-ES" w:eastAsia="es-ES"/>
    </w:rPr>
  </w:style>
  <w:style w:type="character" w:styleId="Textodelmarcadordeposicin">
    <w:name w:val="Placeholder Text"/>
    <w:basedOn w:val="Fuentedeprrafopredeter"/>
    <w:uiPriority w:val="99"/>
    <w:unhideWhenUsed/>
    <w:rsid w:val="00292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332-5594" TargetMode="External"/><Relationship Id="rId13" Type="http://schemas.openxmlformats.org/officeDocument/2006/relationships/hyperlink" Target="mailto:cnerelys@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nuelaleyu@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sydeniz1990@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rcid.org/0000-0002-1918-85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7448-295"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D330DEE-340D-40A8-9006-058DB4264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17</Pages>
  <Words>5119</Words>
  <Characters>28160</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33213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2021-10-03T02:34:00Z</dcterms:created>
  <dcterms:modified xsi:type="dcterms:W3CDTF">2021-10-03T04:35:00Z</dcterms:modified>
</cp:coreProperties>
</file>