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CB" w:rsidRPr="00361B76" w:rsidRDefault="001F34CB" w:rsidP="00361B76">
      <w:pPr>
        <w:pStyle w:val="YAYABO-PaperTitle-english"/>
        <w:spacing w:line="360" w:lineRule="auto"/>
        <w:rPr>
          <w:b/>
          <w:lang w:val="es-US"/>
        </w:rPr>
      </w:pPr>
      <w:r w:rsidRPr="00361B76">
        <w:rPr>
          <w:b/>
          <w:i w:val="0"/>
          <w:lang w:val="es-US"/>
        </w:rPr>
        <w:t xml:space="preserve">Efecto de </w:t>
      </w:r>
      <w:proofErr w:type="spellStart"/>
      <w:r w:rsidRPr="00361B76">
        <w:rPr>
          <w:b/>
          <w:caps w:val="0"/>
          <w:lang w:val="es-US"/>
        </w:rPr>
        <w:t>Beauveria</w:t>
      </w:r>
      <w:proofErr w:type="spellEnd"/>
      <w:r w:rsidRPr="00361B76">
        <w:rPr>
          <w:b/>
          <w:caps w:val="0"/>
          <w:lang w:val="es-US"/>
        </w:rPr>
        <w:t xml:space="preserve"> bassiana </w:t>
      </w:r>
      <w:r w:rsidRPr="00361B76">
        <w:rPr>
          <w:b/>
          <w:i w:val="0"/>
          <w:caps w:val="0"/>
          <w:lang w:val="es-US"/>
        </w:rPr>
        <w:t>(</w:t>
      </w:r>
      <w:r w:rsidRPr="00361B76">
        <w:rPr>
          <w:b/>
          <w:i w:val="0"/>
          <w:lang w:val="es-US"/>
        </w:rPr>
        <w:t>Bals)</w:t>
      </w:r>
      <w:r w:rsidRPr="00361B76">
        <w:rPr>
          <w:b/>
          <w:lang w:val="es-US"/>
        </w:rPr>
        <w:t xml:space="preserve"> </w:t>
      </w:r>
      <w:r w:rsidRPr="00361B76">
        <w:rPr>
          <w:b/>
          <w:i w:val="0"/>
          <w:lang w:val="es-US"/>
        </w:rPr>
        <w:t xml:space="preserve">sobre caracteres bromatológicos de la miel </w:t>
      </w:r>
    </w:p>
    <w:p w:rsidR="001F34CB" w:rsidRPr="00361B76" w:rsidRDefault="001F34CB" w:rsidP="00361B76">
      <w:pPr>
        <w:pStyle w:val="YAYABO-Authors"/>
        <w:spacing w:line="360" w:lineRule="auto"/>
        <w:rPr>
          <w:b w:val="0"/>
          <w:lang w:val="en-US"/>
        </w:rPr>
      </w:pPr>
      <w:r w:rsidRPr="00361B76">
        <w:rPr>
          <w:b w:val="0"/>
          <w:lang w:val="en-US"/>
        </w:rPr>
        <w:t xml:space="preserve">EFFECT TO </w:t>
      </w:r>
      <w:proofErr w:type="spellStart"/>
      <w:r w:rsidRPr="00361B76">
        <w:rPr>
          <w:b w:val="0"/>
          <w:i/>
          <w:lang w:val="en-US"/>
        </w:rPr>
        <w:t>Beauveria</w:t>
      </w:r>
      <w:proofErr w:type="spellEnd"/>
      <w:r w:rsidRPr="00361B76">
        <w:rPr>
          <w:b w:val="0"/>
          <w:i/>
          <w:lang w:val="en-US"/>
        </w:rPr>
        <w:t xml:space="preserve"> bassiana</w:t>
      </w:r>
      <w:r w:rsidRPr="00361B76">
        <w:rPr>
          <w:b w:val="0"/>
          <w:lang w:val="en-US"/>
        </w:rPr>
        <w:t xml:space="preserve"> (BALS) ON BROMATOLOGICAL CHARACTERISTIC OF HONEY</w:t>
      </w:r>
    </w:p>
    <w:p w:rsidR="001F34CB" w:rsidRPr="00361B76" w:rsidRDefault="001F34CB" w:rsidP="00361B76">
      <w:pPr>
        <w:pStyle w:val="YAYABO-Afiliacin"/>
        <w:spacing w:line="360" w:lineRule="auto"/>
        <w:rPr>
          <w:b/>
          <w:bCs/>
          <w:i w:val="0"/>
          <w:sz w:val="24"/>
          <w:lang w:val="es-US"/>
        </w:rPr>
      </w:pPr>
      <w:proofErr w:type="spellStart"/>
      <w:r w:rsidRPr="00361B76">
        <w:rPr>
          <w:b/>
          <w:bCs/>
          <w:i w:val="0"/>
          <w:sz w:val="24"/>
          <w:lang w:val="es-US"/>
        </w:rPr>
        <w:t>Yudmila</w:t>
      </w:r>
      <w:proofErr w:type="spellEnd"/>
      <w:r w:rsidRPr="00361B76">
        <w:rPr>
          <w:b/>
          <w:bCs/>
          <w:i w:val="0"/>
          <w:sz w:val="24"/>
          <w:lang w:val="es-US"/>
        </w:rPr>
        <w:t xml:space="preserve"> González Pina</w:t>
      </w:r>
      <w:r w:rsidRPr="00361B76">
        <w:rPr>
          <w:b/>
          <w:bCs/>
          <w:i w:val="0"/>
          <w:sz w:val="24"/>
          <w:vertAlign w:val="superscript"/>
          <w:lang w:val="es-US"/>
        </w:rPr>
        <w:t>1</w:t>
      </w:r>
      <w:r w:rsidRPr="00361B76">
        <w:rPr>
          <w:b/>
          <w:bCs/>
          <w:i w:val="0"/>
          <w:sz w:val="24"/>
          <w:lang w:val="es-US"/>
        </w:rPr>
        <w:t xml:space="preserve">, Doctora en Medicina Veterinaria y Zootecnia </w:t>
      </w:r>
    </w:p>
    <w:p w:rsidR="001F34CB" w:rsidRPr="00361B76" w:rsidRDefault="001F34CB" w:rsidP="00361B76">
      <w:pPr>
        <w:pStyle w:val="YAYABO-Afiliacin"/>
        <w:spacing w:line="360" w:lineRule="auto"/>
        <w:rPr>
          <w:b/>
          <w:bCs/>
          <w:i w:val="0"/>
          <w:sz w:val="24"/>
          <w:lang w:val="es-US"/>
        </w:rPr>
      </w:pPr>
      <w:r w:rsidRPr="00361B76">
        <w:rPr>
          <w:b/>
          <w:bCs/>
          <w:i w:val="0"/>
          <w:sz w:val="24"/>
          <w:lang w:val="es-US"/>
        </w:rPr>
        <w:t>(</w:t>
      </w:r>
      <w:r w:rsidR="0034079F" w:rsidRPr="0034079F">
        <w:rPr>
          <w:b/>
          <w:bCs/>
          <w:i w:val="0"/>
          <w:sz w:val="24"/>
          <w:lang w:val="es-US"/>
        </w:rPr>
        <w:t>https://orcid.org</w:t>
      </w:r>
      <w:r w:rsidR="0034079F" w:rsidRPr="0034079F">
        <w:rPr>
          <w:b/>
          <w:bCs/>
          <w:i w:val="0"/>
          <w:sz w:val="24"/>
          <w:lang w:val="es-US"/>
        </w:rPr>
        <w:t>/0000-0002-4922-7871</w:t>
      </w:r>
      <w:r w:rsidRPr="00361B76">
        <w:rPr>
          <w:b/>
          <w:bCs/>
          <w:i w:val="0"/>
          <w:sz w:val="24"/>
          <w:lang w:val="es-US"/>
        </w:rPr>
        <w:t>)</w:t>
      </w:r>
    </w:p>
    <w:p w:rsidR="001F34CB" w:rsidRPr="00361B76" w:rsidRDefault="001F34CB" w:rsidP="00361B76">
      <w:pPr>
        <w:pStyle w:val="YAYABO-Authors"/>
        <w:spacing w:line="360" w:lineRule="auto"/>
        <w:rPr>
          <w:lang w:val="es-US"/>
        </w:rPr>
      </w:pPr>
      <w:proofErr w:type="spellStart"/>
      <w:r w:rsidRPr="00361B76">
        <w:rPr>
          <w:lang w:val="es-US"/>
        </w:rPr>
        <w:t>Yander</w:t>
      </w:r>
      <w:proofErr w:type="spellEnd"/>
      <w:r w:rsidRPr="00361B76">
        <w:rPr>
          <w:lang w:val="es-US"/>
        </w:rPr>
        <w:t xml:space="preserve"> Fernández Cancio</w:t>
      </w:r>
      <w:r w:rsidRPr="00361B76">
        <w:rPr>
          <w:vertAlign w:val="superscript"/>
          <w:lang w:val="es-US"/>
        </w:rPr>
        <w:t>2</w:t>
      </w:r>
      <w:r w:rsidRPr="00361B76">
        <w:rPr>
          <w:lang w:val="es-US"/>
        </w:rPr>
        <w:t>, Master en Ciencias Agrícolas, Profesor Auxiliar (https:/</w:t>
      </w:r>
      <w:r w:rsidR="0034079F">
        <w:rPr>
          <w:lang w:val="es-US"/>
        </w:rPr>
        <w:t>/orcid.org/0000-0003-4241-6541)</w:t>
      </w:r>
      <w:bookmarkStart w:id="0" w:name="_GoBack"/>
      <w:bookmarkEnd w:id="0"/>
      <w:r w:rsidRPr="00361B76">
        <w:rPr>
          <w:lang w:val="es-US"/>
        </w:rPr>
        <w:t xml:space="preserve"> </w:t>
      </w:r>
    </w:p>
    <w:p w:rsidR="001F34CB" w:rsidRPr="00361B76" w:rsidRDefault="001F34CB" w:rsidP="00361B76">
      <w:pPr>
        <w:pStyle w:val="YAYABO-Authors"/>
        <w:spacing w:line="360" w:lineRule="auto"/>
        <w:rPr>
          <w:lang w:val="es-US"/>
        </w:rPr>
      </w:pPr>
      <w:proofErr w:type="spellStart"/>
      <w:r w:rsidRPr="00361B76">
        <w:rPr>
          <w:lang w:val="es-US"/>
        </w:rPr>
        <w:t>Leidys</w:t>
      </w:r>
      <w:proofErr w:type="spellEnd"/>
      <w:r w:rsidRPr="00361B76">
        <w:rPr>
          <w:lang w:val="es-US"/>
        </w:rPr>
        <w:t xml:space="preserve"> Verano Luis</w:t>
      </w:r>
      <w:r w:rsidRPr="00361B76">
        <w:rPr>
          <w:vertAlign w:val="superscript"/>
          <w:lang w:val="es-US"/>
        </w:rPr>
        <w:t xml:space="preserve"> 3</w:t>
      </w:r>
      <w:r w:rsidRPr="00361B76">
        <w:rPr>
          <w:lang w:val="es-US"/>
        </w:rPr>
        <w:t xml:space="preserve">, Ingeniera Agrónoma </w:t>
      </w:r>
    </w:p>
    <w:p w:rsidR="001F34CB" w:rsidRPr="00361B76" w:rsidRDefault="001F34CB" w:rsidP="00361B76">
      <w:pPr>
        <w:pStyle w:val="YAYABO-Authors"/>
        <w:spacing w:line="360" w:lineRule="auto"/>
        <w:rPr>
          <w:lang w:val="es-US"/>
        </w:rPr>
      </w:pPr>
      <w:r w:rsidRPr="00361B76">
        <w:rPr>
          <w:lang w:val="es-US"/>
        </w:rPr>
        <w:t xml:space="preserve">(https://orcid.org/0000-0002-9553-7681) </w:t>
      </w:r>
    </w:p>
    <w:p w:rsidR="001F34CB" w:rsidRPr="00361B76" w:rsidRDefault="001F34CB" w:rsidP="00361B76">
      <w:pPr>
        <w:pStyle w:val="YAYABO-Afiliacin"/>
        <w:spacing w:line="360" w:lineRule="auto"/>
        <w:rPr>
          <w:sz w:val="24"/>
          <w:vertAlign w:val="superscript"/>
          <w:lang w:val="es-US"/>
        </w:rPr>
      </w:pPr>
    </w:p>
    <w:p w:rsidR="001F34CB" w:rsidRPr="00361B76" w:rsidRDefault="001F34CB" w:rsidP="00361B76">
      <w:pPr>
        <w:pStyle w:val="YAYABO-Afiliacin"/>
        <w:spacing w:line="360" w:lineRule="auto"/>
        <w:rPr>
          <w:sz w:val="24"/>
          <w:lang w:val="es-US"/>
        </w:rPr>
      </w:pPr>
      <w:r w:rsidRPr="00361B76">
        <w:rPr>
          <w:sz w:val="24"/>
          <w:vertAlign w:val="superscript"/>
          <w:lang w:val="es-US"/>
        </w:rPr>
        <w:t>1</w:t>
      </w:r>
      <w:r w:rsidRPr="00361B76">
        <w:rPr>
          <w:sz w:val="24"/>
          <w:lang w:val="es-US"/>
        </w:rPr>
        <w:t xml:space="preserve">Empresa Apícola </w:t>
      </w:r>
      <w:proofErr w:type="spellStart"/>
      <w:r w:rsidRPr="00361B76">
        <w:rPr>
          <w:sz w:val="24"/>
          <w:lang w:val="es-US"/>
        </w:rPr>
        <w:t>Sacnti</w:t>
      </w:r>
      <w:proofErr w:type="spellEnd"/>
      <w:r w:rsidRPr="00361B76">
        <w:rPr>
          <w:sz w:val="24"/>
          <w:lang w:val="es-US"/>
        </w:rPr>
        <w:t xml:space="preserve"> Spíritus, MINAG (Cuba)</w:t>
      </w:r>
    </w:p>
    <w:p w:rsidR="001F34CB" w:rsidRPr="00361B76" w:rsidRDefault="001F34CB" w:rsidP="00361B76">
      <w:pPr>
        <w:pStyle w:val="YAYABO-Afiliacin"/>
        <w:spacing w:line="360" w:lineRule="auto"/>
        <w:rPr>
          <w:sz w:val="24"/>
          <w:lang w:val="es-US"/>
        </w:rPr>
      </w:pPr>
      <w:r w:rsidRPr="00361B76">
        <w:rPr>
          <w:sz w:val="24"/>
          <w:vertAlign w:val="superscript"/>
          <w:lang w:val="es-US"/>
        </w:rPr>
        <w:t>2</w:t>
      </w:r>
      <w:r w:rsidRPr="00361B76">
        <w:rPr>
          <w:sz w:val="24"/>
          <w:lang w:val="es-US"/>
        </w:rPr>
        <w:t xml:space="preserve">Universidad de Sancti Spíritus José Martí Pérez (Cuba) </w:t>
      </w:r>
    </w:p>
    <w:p w:rsidR="001F34CB" w:rsidRPr="00361B76" w:rsidRDefault="001F34CB" w:rsidP="00361B76">
      <w:pPr>
        <w:pStyle w:val="YAYABO-Afiliacin"/>
        <w:spacing w:line="360" w:lineRule="auto"/>
        <w:rPr>
          <w:sz w:val="24"/>
          <w:lang w:val="es-US"/>
        </w:rPr>
      </w:pPr>
      <w:r w:rsidRPr="00361B76">
        <w:rPr>
          <w:sz w:val="24"/>
          <w:vertAlign w:val="superscript"/>
          <w:lang w:val="es-US"/>
        </w:rPr>
        <w:t>3</w:t>
      </w:r>
      <w:r w:rsidRPr="00361B76">
        <w:rPr>
          <w:sz w:val="24"/>
          <w:lang w:val="es-US"/>
        </w:rPr>
        <w:t>Laboratorio de Referencia en Salud Apícola, MINAG (Cuba)</w:t>
      </w:r>
    </w:p>
    <w:p w:rsidR="001F34CB" w:rsidRPr="00361B76" w:rsidRDefault="001F34CB" w:rsidP="00361B76">
      <w:pPr>
        <w:pStyle w:val="YAYABO-email"/>
        <w:spacing w:line="360" w:lineRule="auto"/>
        <w:rPr>
          <w:sz w:val="24"/>
          <w:lang w:val="en-US"/>
        </w:rPr>
      </w:pPr>
      <w:r w:rsidRPr="00361B76">
        <w:rPr>
          <w:sz w:val="24"/>
          <w:lang w:val="en-US"/>
        </w:rPr>
        <w:t xml:space="preserve">E-mails: </w:t>
      </w:r>
      <w:hyperlink r:id="rId5" w:history="1">
        <w:r w:rsidRPr="00361B76">
          <w:rPr>
            <w:rStyle w:val="Hipervnculo"/>
            <w:sz w:val="24"/>
            <w:lang w:val="en-US"/>
          </w:rPr>
          <w:t>yudmilag80@gmail.com</w:t>
        </w:r>
      </w:hyperlink>
      <w:r w:rsidRPr="00361B76">
        <w:rPr>
          <w:sz w:val="24"/>
          <w:lang w:val="en-US"/>
        </w:rPr>
        <w:t xml:space="preserve"> </w:t>
      </w:r>
      <w:hyperlink r:id="rId6" w:history="1">
        <w:r w:rsidRPr="00361B76">
          <w:rPr>
            <w:rStyle w:val="Hipervnculo"/>
            <w:sz w:val="24"/>
            <w:lang w:val="en-US"/>
          </w:rPr>
          <w:t>yanderfc@uniss.edu.cu</w:t>
        </w:r>
      </w:hyperlink>
      <w:r w:rsidRPr="00361B76">
        <w:rPr>
          <w:sz w:val="24"/>
          <w:lang w:val="en-US"/>
        </w:rPr>
        <w:t xml:space="preserve">, </w:t>
      </w:r>
      <w:hyperlink r:id="rId7" w:history="1">
        <w:r w:rsidRPr="00361B76">
          <w:rPr>
            <w:rStyle w:val="Hipervnculo"/>
            <w:sz w:val="24"/>
            <w:lang w:val="en-US"/>
          </w:rPr>
          <w:t>veranoleidy78@gmail.com</w:t>
        </w:r>
      </w:hyperlink>
      <w:r w:rsidRPr="00361B76">
        <w:rPr>
          <w:sz w:val="24"/>
          <w:lang w:val="en-US"/>
        </w:rPr>
        <w:t xml:space="preserve">, </w:t>
      </w:r>
    </w:p>
    <w:p w:rsidR="001F34CB" w:rsidRPr="00361B76" w:rsidRDefault="001F34CB" w:rsidP="00361B76">
      <w:pPr>
        <w:pStyle w:val="Puesto"/>
        <w:rPr>
          <w:rFonts w:cs="Arial"/>
        </w:rPr>
      </w:pPr>
      <w:r w:rsidRPr="00361B76">
        <w:rPr>
          <w:rFonts w:cs="Arial"/>
        </w:rPr>
        <w:t xml:space="preserve">Resumen </w:t>
      </w:r>
    </w:p>
    <w:p w:rsidR="001F34CB" w:rsidRPr="00361B76" w:rsidRDefault="001F34CB" w:rsidP="00361B76">
      <w:pPr>
        <w:spacing w:line="360" w:lineRule="auto"/>
        <w:jc w:val="both"/>
        <w:rPr>
          <w:rFonts w:ascii="Arial" w:hAnsi="Arial" w:cs="Arial"/>
          <w:lang w:val="es-US"/>
        </w:rPr>
      </w:pPr>
      <w:r w:rsidRPr="00361B76">
        <w:rPr>
          <w:rFonts w:ascii="Arial" w:eastAsia="Calibri" w:hAnsi="Arial" w:cs="Arial"/>
        </w:rPr>
        <w:t xml:space="preserve">En el laboratorio de microbiología de la Facultad de Estudios Superiores </w:t>
      </w:r>
      <w:proofErr w:type="spellStart"/>
      <w:r w:rsidRPr="00361B76">
        <w:rPr>
          <w:rFonts w:ascii="Arial" w:eastAsia="Calibri" w:hAnsi="Arial" w:cs="Arial"/>
        </w:rPr>
        <w:t>Cuatitlán</w:t>
      </w:r>
      <w:proofErr w:type="spellEnd"/>
      <w:r w:rsidRPr="00361B76">
        <w:rPr>
          <w:rFonts w:ascii="Arial" w:eastAsia="Calibri" w:hAnsi="Arial" w:cs="Arial"/>
        </w:rPr>
        <w:t xml:space="preserve">, México, se realizó el presente trabajo con el objetivo de determinar el efecto de esporas de </w:t>
      </w:r>
      <w:proofErr w:type="spellStart"/>
      <w:r w:rsidRPr="00361B76">
        <w:rPr>
          <w:rFonts w:ascii="Arial" w:eastAsia="Calibri" w:hAnsi="Arial" w:cs="Arial"/>
          <w:i/>
        </w:rPr>
        <w:t>Beauveria</w:t>
      </w:r>
      <w:proofErr w:type="spellEnd"/>
      <w:r w:rsidRPr="00361B76">
        <w:rPr>
          <w:rFonts w:ascii="Arial" w:eastAsia="Calibri" w:hAnsi="Arial" w:cs="Arial"/>
          <w:i/>
        </w:rPr>
        <w:t xml:space="preserve"> bassiana</w:t>
      </w:r>
      <w:r w:rsidRPr="00361B76">
        <w:rPr>
          <w:rFonts w:ascii="Arial" w:eastAsia="Calibri" w:hAnsi="Arial" w:cs="Arial"/>
        </w:rPr>
        <w:t xml:space="preserve"> </w:t>
      </w:r>
      <w:proofErr w:type="spellStart"/>
      <w:r w:rsidRPr="00361B76">
        <w:rPr>
          <w:rFonts w:ascii="Arial" w:eastAsia="Calibri" w:hAnsi="Arial" w:cs="Arial"/>
        </w:rPr>
        <w:t>Bals</w:t>
      </w:r>
      <w:proofErr w:type="spellEnd"/>
      <w:r w:rsidRPr="00361B76">
        <w:rPr>
          <w:rFonts w:ascii="Arial" w:eastAsia="Calibri" w:hAnsi="Arial" w:cs="Arial"/>
        </w:rPr>
        <w:t xml:space="preserve"> empleadas en el manejo de </w:t>
      </w:r>
      <w:r w:rsidRPr="00361B76">
        <w:rPr>
          <w:rFonts w:ascii="Arial" w:eastAsia="Calibri" w:hAnsi="Arial" w:cs="Arial"/>
          <w:i/>
        </w:rPr>
        <w:t xml:space="preserve">A. </w:t>
      </w:r>
      <w:proofErr w:type="spellStart"/>
      <w:r w:rsidRPr="00361B76">
        <w:rPr>
          <w:rFonts w:ascii="Arial" w:eastAsia="Calibri" w:hAnsi="Arial" w:cs="Arial"/>
          <w:i/>
        </w:rPr>
        <w:t>tumida</w:t>
      </w:r>
      <w:proofErr w:type="spellEnd"/>
      <w:r w:rsidRPr="00361B76">
        <w:rPr>
          <w:rFonts w:ascii="Arial" w:eastAsia="Calibri" w:hAnsi="Arial" w:cs="Arial"/>
        </w:rPr>
        <w:t xml:space="preserve"> sobre caracteres bromatológicos de la miel.  Se emplearon cuatro concentraciones de las cepas </w:t>
      </w:r>
      <w:r w:rsidRPr="00361B76">
        <w:rPr>
          <w:rFonts w:ascii="Arial" w:hAnsi="Arial" w:cs="Arial"/>
        </w:rPr>
        <w:t>OMRI-listeo® y LBb-111 respectivamente en un diseño completamente aleatorizado y se evaluó el contenido de humedad, acidez, conductividad eléctrica y contenido de cenizas. Las esporas fueron aplicadas directamente en la miel</w:t>
      </w:r>
      <w:r w:rsidRPr="00361B76">
        <w:rPr>
          <w:rFonts w:ascii="Arial" w:eastAsia="Calibri" w:hAnsi="Arial" w:cs="Arial"/>
        </w:rPr>
        <w:t xml:space="preserve"> dispuesta en placas Petri. Se realizó un análisis factorial entre las medias de las cepas y las concentraciones utilizadas, donde se a</w:t>
      </w:r>
      <w:proofErr w:type="spellStart"/>
      <w:r w:rsidRPr="00361B76">
        <w:rPr>
          <w:rFonts w:ascii="Arial" w:hAnsi="Arial" w:cs="Arial"/>
          <w:bCs/>
          <w:lang w:val="es-ES" w:eastAsia="es-ES"/>
        </w:rPr>
        <w:t>lcanzó</w:t>
      </w:r>
      <w:proofErr w:type="spellEnd"/>
      <w:r w:rsidRPr="00361B76">
        <w:rPr>
          <w:rFonts w:ascii="Arial" w:hAnsi="Arial" w:cs="Arial"/>
          <w:bCs/>
          <w:lang w:val="es-ES" w:eastAsia="es-ES"/>
        </w:rPr>
        <w:t xml:space="preserve"> como resultados relevantes que</w:t>
      </w:r>
      <w:r w:rsidRPr="00361B76">
        <w:rPr>
          <w:rFonts w:ascii="Arial" w:hAnsi="Arial" w:cs="Arial"/>
          <w:b/>
          <w:bCs/>
          <w:lang w:val="es-ES" w:eastAsia="es-ES"/>
        </w:rPr>
        <w:t xml:space="preserve"> </w:t>
      </w:r>
      <w:r w:rsidRPr="00361B76">
        <w:rPr>
          <w:rFonts w:ascii="Arial" w:hAnsi="Arial" w:cs="Arial"/>
          <w:lang w:val="es-US"/>
        </w:rPr>
        <w:t xml:space="preserve">las cuatro concentraciones en ambas cepas no afectaron el rango crítico de los caracteres evaluados. </w:t>
      </w:r>
      <w:r w:rsidRPr="00361B76">
        <w:rPr>
          <w:rFonts w:ascii="Arial" w:hAnsi="Arial" w:cs="Arial"/>
        </w:rPr>
        <w:t xml:space="preserve">El indicador que más responde negativamente a la exposición de los hongos fue la conductividad eléctrica de 0,97mS/cm </w:t>
      </w:r>
      <w:r w:rsidRPr="00361B76">
        <w:rPr>
          <w:rFonts w:ascii="Arial" w:hAnsi="Arial" w:cs="Arial"/>
        </w:rPr>
        <w:lastRenderedPageBreak/>
        <w:t xml:space="preserve">a un valor máximo de 1,98 </w:t>
      </w:r>
      <w:proofErr w:type="spellStart"/>
      <w:r w:rsidRPr="00361B76">
        <w:rPr>
          <w:rFonts w:ascii="Arial" w:hAnsi="Arial" w:cs="Arial"/>
        </w:rPr>
        <w:t>mS</w:t>
      </w:r>
      <w:proofErr w:type="spellEnd"/>
      <w:r w:rsidRPr="00361B76">
        <w:rPr>
          <w:rFonts w:ascii="Arial" w:hAnsi="Arial" w:cs="Arial"/>
        </w:rPr>
        <w:t xml:space="preserve">/cm. Los mejores resultados lo alcanzó la cepa </w:t>
      </w:r>
      <w:r w:rsidRPr="00361B76">
        <w:rPr>
          <w:rFonts w:ascii="Arial" w:hAnsi="Arial" w:cs="Arial"/>
          <w:lang w:val="x-none"/>
        </w:rPr>
        <w:t>OMRI</w:t>
      </w:r>
      <w:r w:rsidRPr="00361B76">
        <w:rPr>
          <w:rFonts w:ascii="Arial" w:hAnsi="Arial" w:cs="Arial"/>
          <w:lang w:val="es-ES"/>
        </w:rPr>
        <w:t>-</w:t>
      </w:r>
      <w:r w:rsidRPr="00361B76">
        <w:rPr>
          <w:rFonts w:ascii="Arial" w:hAnsi="Arial" w:cs="Arial"/>
          <w:lang w:val="x-none"/>
        </w:rPr>
        <w:t>listeo®</w:t>
      </w:r>
      <w:r w:rsidRPr="00361B76">
        <w:rPr>
          <w:rFonts w:ascii="Arial" w:hAnsi="Arial" w:cs="Arial"/>
          <w:lang w:val="es-ES"/>
        </w:rPr>
        <w:t xml:space="preserve"> con </w:t>
      </w:r>
      <w:r w:rsidRPr="00361B76">
        <w:rPr>
          <w:rFonts w:ascii="Arial" w:hAnsi="Arial" w:cs="Arial"/>
        </w:rPr>
        <w:t>2,36x10</w:t>
      </w:r>
      <w:r w:rsidRPr="00361B76">
        <w:rPr>
          <w:rFonts w:ascii="Arial" w:hAnsi="Arial" w:cs="Arial"/>
          <w:vertAlign w:val="superscript"/>
        </w:rPr>
        <w:t xml:space="preserve">5 </w:t>
      </w:r>
      <w:r w:rsidRPr="00361B76">
        <w:rPr>
          <w:rFonts w:ascii="Arial" w:hAnsi="Arial" w:cs="Arial"/>
        </w:rPr>
        <w:t>esporas/ml.</w:t>
      </w:r>
    </w:p>
    <w:p w:rsidR="001F34CB" w:rsidRPr="00361B76" w:rsidRDefault="001F34CB" w:rsidP="00361B76">
      <w:pPr>
        <w:spacing w:line="360" w:lineRule="auto"/>
        <w:jc w:val="both"/>
        <w:rPr>
          <w:rFonts w:ascii="Arial" w:hAnsi="Arial" w:cs="Arial"/>
        </w:rPr>
      </w:pPr>
      <w:r w:rsidRPr="00361B76">
        <w:rPr>
          <w:rFonts w:ascii="Arial" w:hAnsi="Arial" w:cs="Arial"/>
        </w:rPr>
        <w:t xml:space="preserve">Palabras clave: esporas, </w:t>
      </w:r>
      <w:proofErr w:type="spellStart"/>
      <w:r w:rsidRPr="00361B76">
        <w:rPr>
          <w:rFonts w:ascii="Arial" w:hAnsi="Arial" w:cs="Arial"/>
        </w:rPr>
        <w:t>entomopatógeno</w:t>
      </w:r>
      <w:proofErr w:type="spellEnd"/>
      <w:r w:rsidRPr="00361B76">
        <w:rPr>
          <w:rFonts w:ascii="Arial" w:hAnsi="Arial" w:cs="Arial"/>
        </w:rPr>
        <w:t>, miel</w:t>
      </w: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center"/>
        <w:rPr>
          <w:rFonts w:ascii="Arial" w:hAnsi="Arial" w:cs="Arial"/>
          <w:b/>
          <w:lang w:val="es-US"/>
        </w:rPr>
      </w:pPr>
      <w:proofErr w:type="spellStart"/>
      <w:r w:rsidRPr="00361B76">
        <w:rPr>
          <w:rFonts w:ascii="Arial" w:hAnsi="Arial" w:cs="Arial"/>
          <w:b/>
          <w:lang w:val="es-US"/>
        </w:rPr>
        <w:t>Abstract</w:t>
      </w:r>
      <w:proofErr w:type="spellEnd"/>
    </w:p>
    <w:p w:rsidR="001F34CB" w:rsidRPr="00361B76" w:rsidRDefault="001F34CB" w:rsidP="00361B76">
      <w:pPr>
        <w:spacing w:line="360" w:lineRule="auto"/>
        <w:jc w:val="both"/>
        <w:rPr>
          <w:rFonts w:ascii="Arial" w:hAnsi="Arial" w:cs="Arial"/>
          <w:lang w:val="en-US"/>
        </w:rPr>
      </w:pPr>
      <w:r w:rsidRPr="00361B76">
        <w:rPr>
          <w:rFonts w:ascii="Arial" w:hAnsi="Arial" w:cs="Arial"/>
          <w:lang w:val="en-US"/>
        </w:rPr>
        <w:t xml:space="preserve">In the laboratory of microbiology of the Ability of Superior Studies </w:t>
      </w:r>
      <w:proofErr w:type="spellStart"/>
      <w:r w:rsidRPr="00361B76">
        <w:rPr>
          <w:rFonts w:ascii="Arial" w:hAnsi="Arial" w:cs="Arial"/>
          <w:lang w:val="en-US"/>
        </w:rPr>
        <w:t>Cuatitlán</w:t>
      </w:r>
      <w:proofErr w:type="spellEnd"/>
      <w:r w:rsidRPr="00361B76">
        <w:rPr>
          <w:rFonts w:ascii="Arial" w:hAnsi="Arial" w:cs="Arial"/>
          <w:lang w:val="en-US"/>
        </w:rPr>
        <w:t xml:space="preserve">, Mexico, was carried out the present work with the objective of determining the effect of strain of </w:t>
      </w:r>
      <w:proofErr w:type="spellStart"/>
      <w:r w:rsidRPr="00361B76">
        <w:rPr>
          <w:rFonts w:ascii="Arial" w:hAnsi="Arial" w:cs="Arial"/>
          <w:i/>
          <w:lang w:val="en-US"/>
        </w:rPr>
        <w:t>Beauveria</w:t>
      </w:r>
      <w:proofErr w:type="spellEnd"/>
      <w:r w:rsidRPr="00361B76">
        <w:rPr>
          <w:rFonts w:ascii="Arial" w:hAnsi="Arial" w:cs="Arial"/>
          <w:i/>
          <w:lang w:val="en-US"/>
        </w:rPr>
        <w:t xml:space="preserve"> bassiana</w:t>
      </w:r>
      <w:r w:rsidRPr="00361B76">
        <w:rPr>
          <w:rFonts w:ascii="Arial" w:hAnsi="Arial" w:cs="Arial"/>
          <w:lang w:val="en-US"/>
        </w:rPr>
        <w:t xml:space="preserve"> </w:t>
      </w:r>
      <w:proofErr w:type="spellStart"/>
      <w:r w:rsidRPr="00361B76">
        <w:rPr>
          <w:rFonts w:ascii="Arial" w:hAnsi="Arial" w:cs="Arial"/>
          <w:lang w:val="en-US"/>
        </w:rPr>
        <w:t>Bals</w:t>
      </w:r>
      <w:proofErr w:type="spellEnd"/>
      <w:r w:rsidRPr="00361B76">
        <w:rPr>
          <w:rFonts w:ascii="Arial" w:hAnsi="Arial" w:cs="Arial"/>
          <w:lang w:val="en-US"/>
        </w:rPr>
        <w:t xml:space="preserve"> used in the </w:t>
      </w:r>
      <w:proofErr w:type="spellStart"/>
      <w:r w:rsidRPr="00361B76">
        <w:rPr>
          <w:rFonts w:ascii="Arial" w:hAnsi="Arial" w:cs="Arial"/>
          <w:lang w:val="en-US"/>
        </w:rPr>
        <w:t>managenet</w:t>
      </w:r>
      <w:proofErr w:type="spellEnd"/>
      <w:r w:rsidRPr="00361B76">
        <w:rPr>
          <w:rFonts w:ascii="Arial" w:hAnsi="Arial" w:cs="Arial"/>
          <w:lang w:val="en-US"/>
        </w:rPr>
        <w:t xml:space="preserve"> of </w:t>
      </w:r>
      <w:r w:rsidRPr="00361B76">
        <w:rPr>
          <w:rFonts w:ascii="Arial" w:hAnsi="Arial" w:cs="Arial"/>
          <w:i/>
          <w:lang w:val="en-US"/>
        </w:rPr>
        <w:t xml:space="preserve">A. </w:t>
      </w:r>
      <w:proofErr w:type="spellStart"/>
      <w:r w:rsidRPr="00361B76">
        <w:rPr>
          <w:rFonts w:ascii="Arial" w:hAnsi="Arial" w:cs="Arial"/>
          <w:i/>
          <w:lang w:val="en-US"/>
        </w:rPr>
        <w:t>tumida</w:t>
      </w:r>
      <w:proofErr w:type="spellEnd"/>
      <w:r w:rsidRPr="00361B76">
        <w:rPr>
          <w:rFonts w:ascii="Arial" w:hAnsi="Arial" w:cs="Arial"/>
          <w:lang w:val="en-US"/>
        </w:rPr>
        <w:t xml:space="preserve"> it has more than enough characters </w:t>
      </w:r>
      <w:proofErr w:type="spellStart"/>
      <w:r w:rsidRPr="00361B76">
        <w:rPr>
          <w:rFonts w:ascii="Arial" w:hAnsi="Arial" w:cs="Arial"/>
          <w:lang w:val="en-US"/>
        </w:rPr>
        <w:t>bromatological</w:t>
      </w:r>
      <w:proofErr w:type="spellEnd"/>
      <w:r w:rsidRPr="00361B76">
        <w:rPr>
          <w:rFonts w:ascii="Arial" w:hAnsi="Arial" w:cs="Arial"/>
          <w:lang w:val="en-US"/>
        </w:rPr>
        <w:t xml:space="preserve"> of the honey.  Four concentrations of the strain OMRI-</w:t>
      </w:r>
      <w:proofErr w:type="spellStart"/>
      <w:r w:rsidRPr="00361B76">
        <w:rPr>
          <w:rFonts w:ascii="Arial" w:hAnsi="Arial" w:cs="Arial"/>
          <w:lang w:val="en-US"/>
        </w:rPr>
        <w:t>listeo</w:t>
      </w:r>
      <w:proofErr w:type="spellEnd"/>
      <w:r w:rsidRPr="00361B76">
        <w:rPr>
          <w:rFonts w:ascii="Arial" w:hAnsi="Arial" w:cs="Arial"/>
          <w:lang w:val="en-US"/>
        </w:rPr>
        <w:t>® and LBb-111 were used respectively in a totally randomized design and it was evaluated the content of humidity, acidity, electric conductivity and content of ashy. The spores were applied directly in the honey prepared in Petri dish. He was carried out a factorial analysis between the stockings of the strain and the utilized concentrations, where it was reached as outstanding results that the four concentrations in both strains didn't affect the critical range of the valued characters. The indicator that more responds negatively to the exhibition of the mushrooms was the 0,97mS/cm electric conductivity to a maximum value of 1</w:t>
      </w:r>
      <w:proofErr w:type="gramStart"/>
      <w:r w:rsidRPr="00361B76">
        <w:rPr>
          <w:rFonts w:ascii="Arial" w:hAnsi="Arial" w:cs="Arial"/>
          <w:lang w:val="en-US"/>
        </w:rPr>
        <w:t>,98</w:t>
      </w:r>
      <w:proofErr w:type="gramEnd"/>
      <w:r w:rsidRPr="00361B76">
        <w:rPr>
          <w:rFonts w:ascii="Arial" w:hAnsi="Arial" w:cs="Arial"/>
          <w:lang w:val="en-US"/>
        </w:rPr>
        <w:t xml:space="preserve"> </w:t>
      </w:r>
      <w:proofErr w:type="spellStart"/>
      <w:r w:rsidRPr="00361B76">
        <w:rPr>
          <w:rFonts w:ascii="Arial" w:hAnsi="Arial" w:cs="Arial"/>
          <w:lang w:val="en-US"/>
        </w:rPr>
        <w:t>mS</w:t>
      </w:r>
      <w:proofErr w:type="spellEnd"/>
      <w:r w:rsidRPr="00361B76">
        <w:rPr>
          <w:rFonts w:ascii="Arial" w:hAnsi="Arial" w:cs="Arial"/>
          <w:lang w:val="en-US"/>
        </w:rPr>
        <w:t>/cm. The best results reached it the strain OMRI-</w:t>
      </w:r>
      <w:proofErr w:type="spellStart"/>
      <w:r w:rsidRPr="00361B76">
        <w:rPr>
          <w:rFonts w:ascii="Arial" w:hAnsi="Arial" w:cs="Arial"/>
          <w:lang w:val="en-US"/>
        </w:rPr>
        <w:t>listeo</w:t>
      </w:r>
      <w:proofErr w:type="spellEnd"/>
      <w:r w:rsidRPr="00361B76">
        <w:rPr>
          <w:rFonts w:ascii="Arial" w:hAnsi="Arial" w:cs="Arial"/>
          <w:lang w:val="en-US"/>
        </w:rPr>
        <w:t xml:space="preserve">® with 2,36x105 spores/ml.  </w:t>
      </w:r>
    </w:p>
    <w:p w:rsidR="001F34CB" w:rsidRPr="00361B76" w:rsidRDefault="001F34CB" w:rsidP="00361B76">
      <w:pPr>
        <w:spacing w:line="360" w:lineRule="auto"/>
        <w:jc w:val="both"/>
        <w:rPr>
          <w:rFonts w:ascii="Arial" w:hAnsi="Arial" w:cs="Arial"/>
          <w:lang w:val="es-US"/>
        </w:rPr>
      </w:pPr>
      <w:proofErr w:type="spellStart"/>
      <w:r w:rsidRPr="00361B76">
        <w:rPr>
          <w:rFonts w:ascii="Arial" w:hAnsi="Arial" w:cs="Arial"/>
          <w:lang w:val="es-US"/>
        </w:rPr>
        <w:t>Keywords</w:t>
      </w:r>
      <w:proofErr w:type="spellEnd"/>
      <w:r w:rsidRPr="00361B76">
        <w:rPr>
          <w:rFonts w:ascii="Arial" w:hAnsi="Arial" w:cs="Arial"/>
          <w:lang w:val="es-US"/>
        </w:rPr>
        <w:t xml:space="preserve">: </w:t>
      </w:r>
      <w:proofErr w:type="spellStart"/>
      <w:r w:rsidRPr="00361B76">
        <w:rPr>
          <w:rFonts w:ascii="Arial" w:hAnsi="Arial" w:cs="Arial"/>
          <w:lang w:val="es-US"/>
        </w:rPr>
        <w:t>strain</w:t>
      </w:r>
      <w:proofErr w:type="spellEnd"/>
      <w:r w:rsidRPr="00361B76">
        <w:rPr>
          <w:rFonts w:ascii="Arial" w:hAnsi="Arial" w:cs="Arial"/>
          <w:lang w:val="es-US"/>
        </w:rPr>
        <w:t xml:space="preserve">, </w:t>
      </w:r>
      <w:proofErr w:type="spellStart"/>
      <w:r w:rsidRPr="00361B76">
        <w:rPr>
          <w:rFonts w:ascii="Arial" w:hAnsi="Arial" w:cs="Arial"/>
          <w:lang w:val="es-US"/>
        </w:rPr>
        <w:t>entomopathogenic</w:t>
      </w:r>
      <w:proofErr w:type="spellEnd"/>
      <w:r w:rsidRPr="00361B76">
        <w:rPr>
          <w:rFonts w:ascii="Arial" w:hAnsi="Arial" w:cs="Arial"/>
          <w:lang w:val="es-US"/>
        </w:rPr>
        <w:t xml:space="preserve">, </w:t>
      </w:r>
      <w:proofErr w:type="spellStart"/>
      <w:r w:rsidRPr="00361B76">
        <w:rPr>
          <w:rFonts w:ascii="Arial" w:hAnsi="Arial" w:cs="Arial"/>
          <w:lang w:val="es-US"/>
        </w:rPr>
        <w:t>hive</w:t>
      </w:r>
      <w:proofErr w:type="spellEnd"/>
    </w:p>
    <w:p w:rsidR="001F34CB" w:rsidRPr="00361B76" w:rsidRDefault="001F34CB" w:rsidP="00361B76">
      <w:pPr>
        <w:tabs>
          <w:tab w:val="left" w:pos="1515"/>
        </w:tabs>
        <w:spacing w:line="360" w:lineRule="auto"/>
        <w:jc w:val="center"/>
        <w:rPr>
          <w:rFonts w:ascii="Arial" w:hAnsi="Arial" w:cs="Arial"/>
          <w:b/>
          <w:lang w:val="es-US"/>
        </w:rPr>
      </w:pPr>
    </w:p>
    <w:p w:rsidR="001F34CB" w:rsidRPr="00361B76" w:rsidRDefault="001F34CB" w:rsidP="00361B76">
      <w:pPr>
        <w:tabs>
          <w:tab w:val="left" w:pos="1515"/>
        </w:tabs>
        <w:spacing w:line="360" w:lineRule="auto"/>
        <w:jc w:val="center"/>
        <w:rPr>
          <w:rFonts w:ascii="Arial" w:hAnsi="Arial" w:cs="Arial"/>
        </w:rPr>
      </w:pPr>
      <w:r w:rsidRPr="00361B76">
        <w:rPr>
          <w:rFonts w:ascii="Arial" w:hAnsi="Arial" w:cs="Arial"/>
          <w:b/>
        </w:rPr>
        <w:t>Introducción</w:t>
      </w:r>
    </w:p>
    <w:p w:rsidR="001F34CB" w:rsidRPr="00361B76" w:rsidRDefault="001F34CB" w:rsidP="00361B76">
      <w:pPr>
        <w:autoSpaceDE w:val="0"/>
        <w:autoSpaceDN w:val="0"/>
        <w:adjustRightInd w:val="0"/>
        <w:spacing w:line="360" w:lineRule="auto"/>
        <w:jc w:val="both"/>
        <w:rPr>
          <w:rFonts w:ascii="Arial" w:hAnsi="Arial" w:cs="Arial"/>
          <w:lang w:val="es-ES"/>
        </w:rPr>
      </w:pPr>
      <w:r w:rsidRPr="00361B76">
        <w:rPr>
          <w:rFonts w:ascii="Arial" w:hAnsi="Arial" w:cs="Arial"/>
          <w:lang w:val="es-ES"/>
        </w:rPr>
        <w:t>Según datos de la Organización de Naciones Unidas para la Agricultura y la Alimentación (FAO, 2018), actualmente Asia encabeza la producción apícola mundial, tanto en rendimiento por colmena como en el volumen, gracias a un crecimiento estable en la última década, mientras que otras zonas como África y Latinoamérica y el Caribe mantienen un rezago en ese sentido. Europa y Estados Unidos son igualmente grandes productores, exportadores e importadores, y cuentan con elevado índice de mecanización y tecnificación de sus respectivas apiculturas, actividad de gran dedicación y de condiciones duras de labor en los países en desarrollo.</w:t>
      </w:r>
    </w:p>
    <w:p w:rsidR="001F34CB" w:rsidRPr="00361B76" w:rsidRDefault="001F34CB" w:rsidP="00361B76">
      <w:pPr>
        <w:pStyle w:val="NormalWeb"/>
        <w:spacing w:line="360" w:lineRule="auto"/>
        <w:jc w:val="both"/>
        <w:rPr>
          <w:sz w:val="24"/>
          <w:szCs w:val="24"/>
          <w:lang w:val="es-ES"/>
        </w:rPr>
      </w:pPr>
      <w:r w:rsidRPr="00361B76">
        <w:rPr>
          <w:sz w:val="24"/>
          <w:szCs w:val="24"/>
          <w:lang w:val="es-ES"/>
        </w:rPr>
        <w:lastRenderedPageBreak/>
        <w:t>Si bien Argentina, China, Vietnam y México, encabezan los principales exportadores a nivel mundial, se observa últimamente que países como Turquía, Hungría, Brasil e India emergen en la producción global con creciente participación. Por otra parte, Estados Unidos, Japón, Alemania, Reino Unido constituyen los principales importadores y controlan más del 60 por ciento de la miel comercializada internacionalmente (FAO, 2018).</w:t>
      </w:r>
    </w:p>
    <w:p w:rsidR="001F34CB" w:rsidRPr="00361B76" w:rsidRDefault="001F34CB" w:rsidP="00361B76">
      <w:pPr>
        <w:spacing w:line="360" w:lineRule="auto"/>
        <w:jc w:val="both"/>
        <w:rPr>
          <w:rFonts w:ascii="Arial" w:hAnsi="Arial" w:cs="Arial"/>
        </w:rPr>
      </w:pPr>
      <w:r w:rsidRPr="00361B76">
        <w:rPr>
          <w:rFonts w:ascii="Arial" w:hAnsi="Arial" w:cs="Arial"/>
        </w:rPr>
        <w:t xml:space="preserve">Las poblaciones de abejas y la producción de miel a nivel mundial están siendo afectadas, debido a diferentes causas, una de estas es la </w:t>
      </w:r>
      <w:proofErr w:type="spellStart"/>
      <w:r w:rsidRPr="00361B76">
        <w:rPr>
          <w:rFonts w:ascii="Arial" w:hAnsi="Arial" w:cs="Arial"/>
        </w:rPr>
        <w:t>Aethinosis</w:t>
      </w:r>
      <w:proofErr w:type="spellEnd"/>
      <w:r w:rsidRPr="00361B76">
        <w:rPr>
          <w:rFonts w:ascii="Arial" w:hAnsi="Arial" w:cs="Arial"/>
        </w:rPr>
        <w:t xml:space="preserve">, enfermedad provocada por la presencia del pequeño escarabajo de la colmena, </w:t>
      </w:r>
      <w:r w:rsidRPr="00361B76">
        <w:rPr>
          <w:rFonts w:ascii="Arial" w:hAnsi="Arial" w:cs="Arial"/>
          <w:i/>
        </w:rPr>
        <w:t xml:space="preserve">Aethina </w:t>
      </w:r>
      <w:proofErr w:type="spellStart"/>
      <w:r w:rsidRPr="00361B76">
        <w:rPr>
          <w:rFonts w:ascii="Arial" w:hAnsi="Arial" w:cs="Arial"/>
          <w:i/>
        </w:rPr>
        <w:t>tumida</w:t>
      </w:r>
      <w:proofErr w:type="spellEnd"/>
      <w:r w:rsidRPr="00361B76">
        <w:rPr>
          <w:rFonts w:ascii="Arial" w:hAnsi="Arial" w:cs="Arial"/>
        </w:rPr>
        <w:t xml:space="preserve"> Murray (Coleóptera, </w:t>
      </w:r>
      <w:proofErr w:type="spellStart"/>
      <w:r w:rsidRPr="00361B76">
        <w:rPr>
          <w:rFonts w:ascii="Arial" w:hAnsi="Arial" w:cs="Arial"/>
        </w:rPr>
        <w:t>Nitidulidae</w:t>
      </w:r>
      <w:proofErr w:type="spellEnd"/>
      <w:r w:rsidRPr="00361B76">
        <w:rPr>
          <w:rFonts w:ascii="Arial" w:hAnsi="Arial" w:cs="Arial"/>
        </w:rPr>
        <w:t xml:space="preserve">). Es endémico de África subsahariana, donde evolucionó en colonias de abejas africanas, </w:t>
      </w:r>
      <w:r w:rsidRPr="00361B76">
        <w:rPr>
          <w:rFonts w:ascii="Arial" w:hAnsi="Arial" w:cs="Arial"/>
          <w:i/>
        </w:rPr>
        <w:t xml:space="preserve">Apis </w:t>
      </w:r>
      <w:proofErr w:type="spellStart"/>
      <w:r w:rsidRPr="00361B76">
        <w:rPr>
          <w:rFonts w:ascii="Arial" w:hAnsi="Arial" w:cs="Arial"/>
          <w:i/>
        </w:rPr>
        <w:t>mellifera</w:t>
      </w:r>
      <w:proofErr w:type="spellEnd"/>
      <w:r w:rsidRPr="00361B76">
        <w:rPr>
          <w:rFonts w:ascii="Arial" w:hAnsi="Arial" w:cs="Arial"/>
          <w:i/>
        </w:rPr>
        <w:t xml:space="preserve"> </w:t>
      </w:r>
      <w:proofErr w:type="spellStart"/>
      <w:r w:rsidRPr="00361B76">
        <w:rPr>
          <w:rFonts w:ascii="Arial" w:hAnsi="Arial" w:cs="Arial"/>
          <w:i/>
        </w:rPr>
        <w:t>capensis</w:t>
      </w:r>
      <w:proofErr w:type="spellEnd"/>
      <w:r w:rsidRPr="00361B76">
        <w:rPr>
          <w:rFonts w:ascii="Arial" w:hAnsi="Arial" w:cs="Arial"/>
        </w:rPr>
        <w:t>. Su distribución natural se encuentra por diversos países de África, en los cuales este escarabajo</w:t>
      </w:r>
      <w:r w:rsidRPr="00361B76">
        <w:rPr>
          <w:rFonts w:ascii="Arial" w:hAnsi="Arial" w:cs="Arial"/>
          <w:i/>
        </w:rPr>
        <w:t xml:space="preserve"> </w:t>
      </w:r>
      <w:r w:rsidRPr="00361B76">
        <w:rPr>
          <w:rFonts w:ascii="Arial" w:hAnsi="Arial" w:cs="Arial"/>
        </w:rPr>
        <w:t>no se considera una plaga de importancia económica, ya que afecta, principalmente, a las colonias que se encuentran débiles o enfermas (</w:t>
      </w:r>
      <w:r w:rsidRPr="00361B76">
        <w:rPr>
          <w:rFonts w:ascii="Arial" w:hAnsi="Arial" w:cs="Arial"/>
          <w:lang w:val="es-ES"/>
        </w:rPr>
        <w:t>Neumann et al., 2016</w:t>
      </w:r>
      <w:r w:rsidRPr="00361B76">
        <w:rPr>
          <w:rFonts w:ascii="Arial" w:hAnsi="Arial" w:cs="Arial"/>
        </w:rPr>
        <w:t xml:space="preserve">). </w:t>
      </w:r>
    </w:p>
    <w:p w:rsidR="001F34CB" w:rsidRPr="00361B76" w:rsidRDefault="001F34CB" w:rsidP="00361B76">
      <w:pPr>
        <w:spacing w:line="360" w:lineRule="auto"/>
        <w:jc w:val="both"/>
        <w:rPr>
          <w:rFonts w:ascii="Arial" w:hAnsi="Arial" w:cs="Arial"/>
        </w:rPr>
      </w:pPr>
    </w:p>
    <w:p w:rsidR="001F34CB" w:rsidRPr="00361B76" w:rsidRDefault="001F34CB" w:rsidP="00361B76">
      <w:pPr>
        <w:autoSpaceDE w:val="0"/>
        <w:autoSpaceDN w:val="0"/>
        <w:adjustRightInd w:val="0"/>
        <w:spacing w:line="360" w:lineRule="auto"/>
        <w:jc w:val="both"/>
        <w:rPr>
          <w:rFonts w:ascii="Arial" w:hAnsi="Arial" w:cs="Arial"/>
        </w:rPr>
      </w:pPr>
      <w:r w:rsidRPr="00361B76">
        <w:rPr>
          <w:rFonts w:ascii="Arial" w:hAnsi="Arial" w:cs="Arial"/>
        </w:rPr>
        <w:t>Las pérdidas económicas también se pueden asociar a la infestación en la sala de extracción de miel por las condiciones ambientales, generalmente como temperaturas y humedades altas. La reproducción oculta y de bajo nivel también puede realizarse en los panales viejos o desechados luego de la producción o debajo de los cuadros de la colmena, sin que se observen signos del daño causado a la colonia (</w:t>
      </w:r>
      <w:proofErr w:type="spellStart"/>
      <w:r w:rsidRPr="00361B76">
        <w:rPr>
          <w:rFonts w:ascii="Arial" w:hAnsi="Arial" w:cs="Arial"/>
        </w:rPr>
        <w:t>Granato</w:t>
      </w:r>
      <w:proofErr w:type="spellEnd"/>
      <w:r w:rsidRPr="00361B76">
        <w:rPr>
          <w:rFonts w:ascii="Arial" w:hAnsi="Arial" w:cs="Arial"/>
        </w:rPr>
        <w:t xml:space="preserve"> et al., 2017).</w:t>
      </w:r>
    </w:p>
    <w:p w:rsidR="001F34CB" w:rsidRPr="00361B76" w:rsidRDefault="001F34CB" w:rsidP="00361B76">
      <w:pPr>
        <w:autoSpaceDE w:val="0"/>
        <w:autoSpaceDN w:val="0"/>
        <w:adjustRightInd w:val="0"/>
        <w:spacing w:line="360" w:lineRule="auto"/>
        <w:jc w:val="both"/>
        <w:rPr>
          <w:rFonts w:ascii="Arial" w:hAnsi="Arial" w:cs="Arial"/>
        </w:rPr>
      </w:pPr>
    </w:p>
    <w:p w:rsidR="001F34CB" w:rsidRPr="00361B76" w:rsidRDefault="001F34CB" w:rsidP="00361B76">
      <w:pPr>
        <w:autoSpaceDE w:val="0"/>
        <w:autoSpaceDN w:val="0"/>
        <w:adjustRightInd w:val="0"/>
        <w:spacing w:line="360" w:lineRule="auto"/>
        <w:jc w:val="both"/>
        <w:rPr>
          <w:rFonts w:ascii="Arial" w:hAnsi="Arial" w:cs="Arial"/>
        </w:rPr>
      </w:pPr>
      <w:r w:rsidRPr="00361B76">
        <w:rPr>
          <w:rFonts w:ascii="Arial" w:hAnsi="Arial" w:cs="Arial"/>
        </w:rPr>
        <w:t>El control de esta plaga con productos químicos tiene múltiples inconvenientes, principalmente aquellos relacionados con la susceptibilidad de las abejas a tales productos, la contaminación de la miel, la cera, y las concebidas implicaciones de la contaminación ambiental. En el caso del ácido bórico es una sustancia química formada por boro, oxígeno e hidrógeno y es el más empleado en el control (Hayes et al. 2015).</w:t>
      </w: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both"/>
        <w:rPr>
          <w:rFonts w:ascii="Arial" w:hAnsi="Arial" w:cs="Arial"/>
        </w:rPr>
      </w:pPr>
      <w:r w:rsidRPr="00361B76">
        <w:rPr>
          <w:rFonts w:ascii="Arial" w:hAnsi="Arial" w:cs="Arial"/>
        </w:rPr>
        <w:t xml:space="preserve">El empleo de cualquier sustancia o microorganismo en el manejo de la colmena debe proteger los parámetros de calidad especificados en una Directiva Europea y en los estándares del Codex </w:t>
      </w:r>
      <w:proofErr w:type="spellStart"/>
      <w:r w:rsidRPr="00361B76">
        <w:rPr>
          <w:rFonts w:ascii="Arial" w:hAnsi="Arial" w:cs="Arial"/>
        </w:rPr>
        <w:t>Alimentarius</w:t>
      </w:r>
      <w:proofErr w:type="spellEnd"/>
      <w:r w:rsidRPr="00361B76">
        <w:rPr>
          <w:rFonts w:ascii="Arial" w:hAnsi="Arial" w:cs="Arial"/>
        </w:rPr>
        <w:t xml:space="preserve">, como el contenido de azúcares específicos y la </w:t>
      </w:r>
      <w:r w:rsidRPr="00361B76">
        <w:rPr>
          <w:rFonts w:ascii="Arial" w:hAnsi="Arial" w:cs="Arial"/>
        </w:rPr>
        <w:lastRenderedPageBreak/>
        <w:t xml:space="preserve">conductividad eléctrica de la miel de abejas, junto con los demás métodos reconocidos para determinar la calidad de la miel y utilizados, mientras que otras normas regionales como la Regulación Europea de la Miel pueden establecer requerimientos de calidad </w:t>
      </w:r>
      <w:proofErr w:type="spellStart"/>
      <w:r w:rsidRPr="00361B76">
        <w:rPr>
          <w:rFonts w:ascii="Arial" w:hAnsi="Arial" w:cs="Arial"/>
        </w:rPr>
        <w:t>especificos</w:t>
      </w:r>
      <w:proofErr w:type="spellEnd"/>
      <w:r w:rsidRPr="00361B76">
        <w:rPr>
          <w:rFonts w:ascii="Arial" w:hAnsi="Arial" w:cs="Arial"/>
        </w:rPr>
        <w:t xml:space="preserve"> para la región, que podrían ser diferentes a los sugeridos por el Codex </w:t>
      </w:r>
      <w:proofErr w:type="spellStart"/>
      <w:r w:rsidRPr="00361B76">
        <w:rPr>
          <w:rFonts w:ascii="Arial" w:hAnsi="Arial" w:cs="Arial"/>
        </w:rPr>
        <w:t>Alimentarius</w:t>
      </w:r>
      <w:proofErr w:type="spellEnd"/>
      <w:r w:rsidRPr="00361B76">
        <w:rPr>
          <w:rFonts w:ascii="Arial" w:hAnsi="Arial" w:cs="Arial"/>
        </w:rPr>
        <w:t xml:space="preserve">, quienes refieren al contenido de humedad, sólidos solubles en agua, contenido de cenizas o minerales, conductividad eléctrica y acidez .  </w:t>
      </w: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both"/>
        <w:rPr>
          <w:rFonts w:ascii="Arial" w:hAnsi="Arial" w:cs="Arial"/>
        </w:rPr>
      </w:pPr>
      <w:r w:rsidRPr="00361B76">
        <w:rPr>
          <w:rFonts w:ascii="Arial" w:hAnsi="Arial" w:cs="Arial"/>
        </w:rPr>
        <w:t xml:space="preserve">Existen otros indicadores que determinan la calidad de la miel como la actividad de diastasa, que es un factor de calidad que puede ser alterado durante el procesamiento y el almacenamiento de la miel; por ello se utiliza como indicador de sobrecalentamiento y de frescura. También se realiza el análisis del contenido de </w:t>
      </w:r>
      <w:proofErr w:type="spellStart"/>
      <w:r w:rsidRPr="00361B76">
        <w:rPr>
          <w:rFonts w:ascii="Arial" w:hAnsi="Arial" w:cs="Arial"/>
        </w:rPr>
        <w:t>hidroximetilfurfural</w:t>
      </w:r>
      <w:proofErr w:type="spellEnd"/>
      <w:r w:rsidRPr="00361B76">
        <w:rPr>
          <w:rFonts w:ascii="Arial" w:hAnsi="Arial" w:cs="Arial"/>
        </w:rPr>
        <w:t xml:space="preserve">, el cual es un indicador de la frescura del sobrecalentamiento de la miel. En otras regiones se calcula la actividad de la </w:t>
      </w:r>
      <w:proofErr w:type="spellStart"/>
      <w:r w:rsidRPr="00361B76">
        <w:rPr>
          <w:rFonts w:ascii="Arial" w:hAnsi="Arial" w:cs="Arial"/>
        </w:rPr>
        <w:t>invertasa</w:t>
      </w:r>
      <w:proofErr w:type="spellEnd"/>
      <w:r w:rsidRPr="00361B76">
        <w:rPr>
          <w:rFonts w:ascii="Arial" w:hAnsi="Arial" w:cs="Arial"/>
        </w:rPr>
        <w:t xml:space="preserve">, la cual es particularmente sensible al sobrecalentamiento y almacenamiento prolongado; por ello, al igual que la actividad de la diastasa </w:t>
      </w:r>
      <w:r w:rsidR="00F420F0" w:rsidRPr="00361B76">
        <w:rPr>
          <w:rFonts w:ascii="Arial" w:hAnsi="Arial" w:cs="Arial"/>
        </w:rPr>
        <w:t>(Velázquez et al., 2019</w:t>
      </w:r>
      <w:r w:rsidRPr="00361B76">
        <w:rPr>
          <w:rFonts w:ascii="Arial" w:hAnsi="Arial" w:cs="Arial"/>
        </w:rPr>
        <w:t>)</w:t>
      </w:r>
      <w:r w:rsidR="00F420F0" w:rsidRPr="00361B76">
        <w:rPr>
          <w:rFonts w:ascii="Arial" w:hAnsi="Arial" w:cs="Arial"/>
        </w:rPr>
        <w:t xml:space="preserve">, </w:t>
      </w:r>
      <w:r w:rsidRPr="00361B76">
        <w:rPr>
          <w:rFonts w:ascii="Arial" w:hAnsi="Arial" w:cs="Arial"/>
        </w:rPr>
        <w:t xml:space="preserve">por tal razón se trazó como problema de la investigación:   </w:t>
      </w:r>
    </w:p>
    <w:p w:rsidR="001F34CB" w:rsidRPr="00361B76" w:rsidRDefault="001F34CB" w:rsidP="00361B76">
      <w:pPr>
        <w:spacing w:line="360" w:lineRule="auto"/>
        <w:jc w:val="both"/>
        <w:rPr>
          <w:rFonts w:ascii="Arial" w:hAnsi="Arial" w:cs="Arial"/>
        </w:rPr>
      </w:pPr>
      <w:r w:rsidRPr="00361B76">
        <w:rPr>
          <w:rFonts w:ascii="Arial" w:hAnsi="Arial" w:cs="Arial"/>
        </w:rPr>
        <w:t xml:space="preserve">  </w:t>
      </w:r>
    </w:p>
    <w:p w:rsidR="001F34CB" w:rsidRPr="00361B76" w:rsidRDefault="001F34CB" w:rsidP="00361B76">
      <w:pPr>
        <w:spacing w:line="360" w:lineRule="auto"/>
        <w:jc w:val="both"/>
        <w:rPr>
          <w:rFonts w:ascii="Arial" w:hAnsi="Arial" w:cs="Arial"/>
        </w:rPr>
      </w:pPr>
      <w:r w:rsidRPr="00361B76">
        <w:rPr>
          <w:rFonts w:ascii="Arial" w:hAnsi="Arial" w:cs="Arial"/>
        </w:rPr>
        <w:t xml:space="preserve">¿Cuál será el efecto de las esporas de B. bassiana y M. </w:t>
      </w:r>
      <w:proofErr w:type="spellStart"/>
      <w:r w:rsidRPr="00361B76">
        <w:rPr>
          <w:rFonts w:ascii="Arial" w:hAnsi="Arial" w:cs="Arial"/>
        </w:rPr>
        <w:t>anisopliae</w:t>
      </w:r>
      <w:proofErr w:type="spellEnd"/>
      <w:r w:rsidRPr="00361B76">
        <w:rPr>
          <w:rFonts w:ascii="Arial" w:hAnsi="Arial" w:cs="Arial"/>
        </w:rPr>
        <w:t xml:space="preserve"> en caracteres bromatológicos de la miel comercial?</w:t>
      </w:r>
    </w:p>
    <w:p w:rsidR="001F34CB" w:rsidRPr="00361B76" w:rsidRDefault="001F34CB" w:rsidP="00361B76">
      <w:pPr>
        <w:spacing w:line="360" w:lineRule="auto"/>
        <w:jc w:val="both"/>
        <w:rPr>
          <w:rFonts w:ascii="Arial" w:hAnsi="Arial" w:cs="Arial"/>
        </w:rPr>
      </w:pPr>
      <w:r w:rsidRPr="00361B76">
        <w:rPr>
          <w:rFonts w:ascii="Arial" w:hAnsi="Arial" w:cs="Arial"/>
        </w:rPr>
        <w:t xml:space="preserve">Se traza como objetivo del trabajo determinar el efecto de las esporas de los hongos en caracteres bromatológicos de la miel comercial. </w:t>
      </w:r>
    </w:p>
    <w:p w:rsidR="001F34CB" w:rsidRPr="00361B76" w:rsidRDefault="001F34CB" w:rsidP="00361B76">
      <w:pPr>
        <w:spacing w:line="360" w:lineRule="auto"/>
        <w:jc w:val="center"/>
        <w:rPr>
          <w:rFonts w:ascii="Arial" w:hAnsi="Arial" w:cs="Arial"/>
          <w:b/>
        </w:rPr>
      </w:pPr>
    </w:p>
    <w:p w:rsidR="001F34CB" w:rsidRPr="00361B76" w:rsidRDefault="001F34CB" w:rsidP="00361B76">
      <w:pPr>
        <w:spacing w:line="360" w:lineRule="auto"/>
        <w:jc w:val="center"/>
        <w:rPr>
          <w:rFonts w:ascii="Arial" w:hAnsi="Arial" w:cs="Arial"/>
          <w:b/>
        </w:rPr>
      </w:pPr>
      <w:r w:rsidRPr="00361B76">
        <w:rPr>
          <w:rFonts w:ascii="Arial" w:hAnsi="Arial" w:cs="Arial"/>
          <w:b/>
        </w:rPr>
        <w:t xml:space="preserve">Materiales y Métodos </w:t>
      </w:r>
    </w:p>
    <w:p w:rsidR="001F34CB" w:rsidRPr="00361B76" w:rsidRDefault="001F34CB" w:rsidP="00361B76">
      <w:pPr>
        <w:spacing w:line="360" w:lineRule="auto"/>
        <w:jc w:val="both"/>
        <w:rPr>
          <w:rFonts w:ascii="Arial" w:hAnsi="Arial" w:cs="Arial"/>
        </w:rPr>
      </w:pPr>
      <w:r w:rsidRPr="00361B76">
        <w:rPr>
          <w:rFonts w:ascii="Arial" w:eastAsia="Calibri" w:hAnsi="Arial" w:cs="Arial"/>
        </w:rPr>
        <w:t xml:space="preserve">El trabajo se desarrolló en el laboratorio de microbiología de la Facultad de Estudios Superiores </w:t>
      </w:r>
      <w:proofErr w:type="spellStart"/>
      <w:r w:rsidRPr="00361B76">
        <w:rPr>
          <w:rFonts w:ascii="Arial" w:eastAsia="Calibri" w:hAnsi="Arial" w:cs="Arial"/>
        </w:rPr>
        <w:t>Cuatitlán</w:t>
      </w:r>
      <w:proofErr w:type="spellEnd"/>
      <w:r w:rsidRPr="00361B76">
        <w:rPr>
          <w:rFonts w:ascii="Arial" w:eastAsia="Calibri" w:hAnsi="Arial" w:cs="Arial"/>
        </w:rPr>
        <w:t xml:space="preserve">, México (FESC) y en el laboratorio de bioproductos de la Facultad de Ciencias Agropecuarias de la Universidad de Sancti </w:t>
      </w:r>
      <w:proofErr w:type="spellStart"/>
      <w:r w:rsidRPr="00361B76">
        <w:rPr>
          <w:rFonts w:ascii="Arial" w:eastAsia="Calibri" w:hAnsi="Arial" w:cs="Arial"/>
        </w:rPr>
        <w:t>Spiritus</w:t>
      </w:r>
      <w:proofErr w:type="spellEnd"/>
      <w:r w:rsidRPr="00361B76">
        <w:rPr>
          <w:rFonts w:ascii="Arial" w:eastAsia="Calibri" w:hAnsi="Arial" w:cs="Arial"/>
        </w:rPr>
        <w:t xml:space="preserve">, con miel comercial de las colmenas de la UNAM y </w:t>
      </w:r>
      <w:proofErr w:type="spellStart"/>
      <w:r w:rsidRPr="00361B76">
        <w:rPr>
          <w:rFonts w:ascii="Arial" w:eastAsia="Calibri" w:hAnsi="Arial" w:cs="Arial"/>
        </w:rPr>
        <w:t>Apicuba</w:t>
      </w:r>
      <w:proofErr w:type="spellEnd"/>
      <w:r w:rsidRPr="00361B76">
        <w:rPr>
          <w:rFonts w:ascii="Arial" w:eastAsia="Calibri" w:hAnsi="Arial" w:cs="Arial"/>
        </w:rPr>
        <w:t xml:space="preserve">. Tuvo como objetivo determinar el efecto de las esporas del hongo sobre parámetros de calidad comercial según estándares comerciales de la </w:t>
      </w:r>
      <w:r w:rsidRPr="00361B76">
        <w:rPr>
          <w:rFonts w:ascii="Arial" w:hAnsi="Arial" w:cs="Arial"/>
        </w:rPr>
        <w:t xml:space="preserve">Directiva Europea y en los estándares del Codex </w:t>
      </w:r>
      <w:proofErr w:type="spellStart"/>
      <w:r w:rsidRPr="00361B76">
        <w:rPr>
          <w:rFonts w:ascii="Arial" w:hAnsi="Arial" w:cs="Arial"/>
        </w:rPr>
        <w:t>Alimentarius</w:t>
      </w:r>
      <w:proofErr w:type="spellEnd"/>
      <w:r w:rsidRPr="00361B76">
        <w:rPr>
          <w:rFonts w:ascii="Arial" w:hAnsi="Arial" w:cs="Arial"/>
        </w:rPr>
        <w:t xml:space="preserve"> y Codex </w:t>
      </w:r>
      <w:proofErr w:type="spellStart"/>
      <w:r w:rsidRPr="00361B76">
        <w:rPr>
          <w:rFonts w:ascii="Arial" w:hAnsi="Arial" w:cs="Arial"/>
        </w:rPr>
        <w:t>Alimentarius</w:t>
      </w:r>
      <w:proofErr w:type="spellEnd"/>
      <w:r w:rsidRPr="00361B76">
        <w:rPr>
          <w:rFonts w:ascii="Arial" w:hAnsi="Arial" w:cs="Arial"/>
        </w:rPr>
        <w:t xml:space="preserve">, utilizados por </w:t>
      </w:r>
      <w:proofErr w:type="spellStart"/>
      <w:r w:rsidRPr="00361B76">
        <w:rPr>
          <w:rFonts w:ascii="Arial" w:hAnsi="Arial" w:cs="Arial"/>
        </w:rPr>
        <w:t>Bogdanov</w:t>
      </w:r>
      <w:proofErr w:type="spellEnd"/>
      <w:r w:rsidRPr="00361B76">
        <w:rPr>
          <w:rFonts w:ascii="Arial" w:hAnsi="Arial" w:cs="Arial"/>
        </w:rPr>
        <w:t xml:space="preserve"> et al. (1997). </w:t>
      </w: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both"/>
        <w:rPr>
          <w:rFonts w:ascii="Arial" w:hAnsi="Arial" w:cs="Arial"/>
          <w:lang w:val="es-ES"/>
        </w:rPr>
      </w:pPr>
      <w:r w:rsidRPr="00361B76">
        <w:rPr>
          <w:rFonts w:ascii="Arial" w:hAnsi="Arial" w:cs="Arial"/>
        </w:rPr>
        <w:lastRenderedPageBreak/>
        <w:t>Se</w:t>
      </w:r>
      <w:r w:rsidRPr="00361B76">
        <w:rPr>
          <w:rFonts w:ascii="Arial" w:hAnsi="Arial" w:cs="Arial"/>
          <w:i/>
        </w:rPr>
        <w:t xml:space="preserve"> </w:t>
      </w:r>
      <w:r w:rsidRPr="00361B76">
        <w:rPr>
          <w:rFonts w:ascii="Arial" w:hAnsi="Arial" w:cs="Arial"/>
        </w:rPr>
        <w:t xml:space="preserve">empleó la cepa LBb-111 de </w:t>
      </w:r>
      <w:r w:rsidRPr="00361B76">
        <w:rPr>
          <w:rFonts w:ascii="Arial" w:hAnsi="Arial" w:cs="Arial"/>
          <w:i/>
        </w:rPr>
        <w:t xml:space="preserve">B. bassiana </w:t>
      </w:r>
      <w:r w:rsidRPr="00361B76">
        <w:rPr>
          <w:rFonts w:ascii="Arial" w:hAnsi="Arial" w:cs="Arial"/>
        </w:rPr>
        <w:t>a una concentración de 2,36x10</w:t>
      </w:r>
      <w:r w:rsidRPr="00361B76">
        <w:rPr>
          <w:rFonts w:ascii="Arial" w:hAnsi="Arial" w:cs="Arial"/>
          <w:vertAlign w:val="superscript"/>
        </w:rPr>
        <w:t>8</w:t>
      </w:r>
      <w:r w:rsidRPr="00361B76">
        <w:rPr>
          <w:rFonts w:ascii="Arial" w:hAnsi="Arial" w:cs="Arial"/>
        </w:rPr>
        <w:t xml:space="preserve"> esporas/ml refrescada sobre de </w:t>
      </w:r>
      <w:proofErr w:type="spellStart"/>
      <w:r w:rsidRPr="00361B76">
        <w:rPr>
          <w:rFonts w:ascii="Arial" w:hAnsi="Arial" w:cs="Arial"/>
          <w:i/>
        </w:rPr>
        <w:t>Cylas</w:t>
      </w:r>
      <w:proofErr w:type="spellEnd"/>
      <w:r w:rsidRPr="00361B76">
        <w:rPr>
          <w:rFonts w:ascii="Arial" w:hAnsi="Arial" w:cs="Arial"/>
          <w:i/>
        </w:rPr>
        <w:t xml:space="preserve"> </w:t>
      </w:r>
      <w:proofErr w:type="spellStart"/>
      <w:r w:rsidRPr="00361B76">
        <w:rPr>
          <w:rFonts w:ascii="Arial" w:hAnsi="Arial" w:cs="Arial"/>
          <w:i/>
        </w:rPr>
        <w:t>formicarius</w:t>
      </w:r>
      <w:proofErr w:type="spellEnd"/>
      <w:r w:rsidRPr="00361B76">
        <w:rPr>
          <w:rFonts w:ascii="Arial" w:hAnsi="Arial" w:cs="Arial"/>
          <w:i/>
        </w:rPr>
        <w:t xml:space="preserve"> </w:t>
      </w:r>
      <w:r w:rsidRPr="00361B76">
        <w:rPr>
          <w:rFonts w:ascii="Arial" w:hAnsi="Arial" w:cs="Arial"/>
        </w:rPr>
        <w:t>L. y multiplicadas empleando la cabecilla de arroz en el laboratorio de Agropecuaria III (Bioproductos) de la Facultad de Ciencias Agropecuarias de la Universidad de Sancti Spíritus José Martí Pérez. Se empleó además la cepa comercial en México OMRI-listeo® con una concentración de 5,3x10</w:t>
      </w:r>
      <w:r w:rsidRPr="00361B76">
        <w:rPr>
          <w:rFonts w:ascii="Arial" w:hAnsi="Arial" w:cs="Arial"/>
          <w:vertAlign w:val="superscript"/>
        </w:rPr>
        <w:t>8</w:t>
      </w:r>
      <w:r w:rsidRPr="00361B76">
        <w:rPr>
          <w:rFonts w:ascii="Arial" w:hAnsi="Arial" w:cs="Arial"/>
        </w:rPr>
        <w:t xml:space="preserve"> </w:t>
      </w:r>
      <w:proofErr w:type="spellStart"/>
      <w:r w:rsidRPr="00361B76">
        <w:rPr>
          <w:rFonts w:ascii="Arial" w:hAnsi="Arial" w:cs="Arial"/>
        </w:rPr>
        <w:t>esp</w:t>
      </w:r>
      <w:proofErr w:type="spellEnd"/>
      <w:r w:rsidRPr="00361B76">
        <w:rPr>
          <w:rFonts w:ascii="Arial" w:hAnsi="Arial" w:cs="Arial"/>
        </w:rPr>
        <w:t>/ml. Se realizó una dilución de esta concentración hasta alcanzar 2,36x10</w:t>
      </w:r>
      <w:r w:rsidRPr="00361B76">
        <w:rPr>
          <w:rFonts w:ascii="Arial" w:hAnsi="Arial" w:cs="Arial"/>
          <w:vertAlign w:val="superscript"/>
        </w:rPr>
        <w:t>8</w:t>
      </w:r>
      <w:r w:rsidRPr="00361B76">
        <w:rPr>
          <w:rFonts w:ascii="Arial" w:hAnsi="Arial" w:cs="Arial"/>
        </w:rPr>
        <w:t xml:space="preserve"> </w:t>
      </w:r>
      <w:r w:rsidRPr="00361B76">
        <w:rPr>
          <w:rFonts w:ascii="Arial" w:hAnsi="Arial" w:cs="Arial"/>
          <w:lang w:val="es-ES"/>
        </w:rPr>
        <w:t xml:space="preserve"> </w:t>
      </w:r>
    </w:p>
    <w:p w:rsidR="001F34CB" w:rsidRPr="00361B76" w:rsidRDefault="001F34CB" w:rsidP="00361B76">
      <w:pPr>
        <w:spacing w:line="360" w:lineRule="auto"/>
        <w:ind w:right="-1"/>
        <w:jc w:val="both"/>
        <w:rPr>
          <w:rFonts w:ascii="Arial" w:eastAsia="Calibri" w:hAnsi="Arial" w:cs="Arial"/>
        </w:rPr>
      </w:pPr>
    </w:p>
    <w:p w:rsidR="001F34CB" w:rsidRPr="00361B76" w:rsidRDefault="001F34CB" w:rsidP="00361B76">
      <w:pPr>
        <w:spacing w:line="360" w:lineRule="auto"/>
        <w:ind w:right="-1"/>
        <w:jc w:val="both"/>
        <w:rPr>
          <w:rFonts w:ascii="Arial" w:hAnsi="Arial" w:cs="Arial"/>
        </w:rPr>
      </w:pPr>
      <w:r w:rsidRPr="00361B76">
        <w:rPr>
          <w:rFonts w:ascii="Arial" w:eastAsia="Calibri" w:hAnsi="Arial" w:cs="Arial"/>
        </w:rPr>
        <w:t xml:space="preserve">Se pesaron 12 g de miel y colocaron en placas Petri de 10 cm de diámetro y 0,10 cm de alto, y se dispersaron en la superficie. A partir de la concentración inicial se realizaron cuatro diluciones seriadas y se aplicaron con asas microbiológicas de siembra con dos pases en diagonal sobre la miel en toda la placa Petri. En todos este proceso se empleó método </w:t>
      </w:r>
      <w:r w:rsidRPr="00361B76">
        <w:rPr>
          <w:rFonts w:ascii="Arial" w:hAnsi="Arial" w:cs="Arial"/>
        </w:rPr>
        <w:t xml:space="preserve">del flameo para pesar, mesclar y sellar de los recipientes. Se realizaron cuatro tratamientos por cepa con 12 réplicas para un total de 192 placas en un diseño completamente aleatorizado. Para evitar la contaminación con otros organismos los materiales de laboratorio fueron esterilizados en la autoclave (modelo </w:t>
      </w:r>
      <w:proofErr w:type="spellStart"/>
      <w:r w:rsidRPr="00361B76">
        <w:rPr>
          <w:rFonts w:ascii="Arial" w:hAnsi="Arial" w:cs="Arial"/>
        </w:rPr>
        <w:t>Raypa</w:t>
      </w:r>
      <w:proofErr w:type="spellEnd"/>
      <w:r w:rsidRPr="00361B76">
        <w:rPr>
          <w:rFonts w:ascii="Arial" w:hAnsi="Arial" w:cs="Arial"/>
        </w:rPr>
        <w:t>) a una temperatura de 120</w:t>
      </w:r>
      <w:r w:rsidRPr="00361B76">
        <w:rPr>
          <w:rFonts w:ascii="Arial" w:hAnsi="Arial" w:cs="Arial"/>
          <w:vertAlign w:val="superscript"/>
        </w:rPr>
        <w:t>0</w:t>
      </w:r>
      <w:r w:rsidRPr="00361B76">
        <w:rPr>
          <w:rFonts w:ascii="Arial" w:hAnsi="Arial" w:cs="Arial"/>
        </w:rPr>
        <w:t>C y una presión de 1 atmósfera durante 20 minutos.</w:t>
      </w:r>
    </w:p>
    <w:p w:rsidR="001F34CB" w:rsidRPr="00361B76" w:rsidRDefault="001F34CB" w:rsidP="00361B76">
      <w:pPr>
        <w:spacing w:line="360" w:lineRule="auto"/>
        <w:jc w:val="both"/>
        <w:rPr>
          <w:rFonts w:ascii="Arial" w:hAnsi="Arial" w:cs="Arial"/>
          <w:lang w:val="es-US"/>
        </w:rPr>
      </w:pPr>
    </w:p>
    <w:p w:rsidR="001F34CB" w:rsidRPr="00361B76" w:rsidRDefault="001F34CB" w:rsidP="00361B76">
      <w:pPr>
        <w:spacing w:line="360" w:lineRule="auto"/>
        <w:jc w:val="both"/>
        <w:rPr>
          <w:rFonts w:ascii="Arial" w:hAnsi="Arial" w:cs="Arial"/>
          <w:u w:val="single"/>
        </w:rPr>
      </w:pPr>
      <w:r w:rsidRPr="00361B76">
        <w:rPr>
          <w:rFonts w:ascii="Arial" w:hAnsi="Arial" w:cs="Arial"/>
        </w:rPr>
        <w:t xml:space="preserve">Se realizó evaluaciones a las 48 horas, 72 horas, cinco, 10, 14 y 21 días (tiempo máximo requerido por estos hongos para controlar la </w:t>
      </w:r>
      <w:r w:rsidRPr="00361B76">
        <w:rPr>
          <w:rFonts w:ascii="Arial" w:hAnsi="Arial" w:cs="Arial"/>
          <w:i/>
        </w:rPr>
        <w:t xml:space="preserve">A. </w:t>
      </w:r>
      <w:proofErr w:type="spellStart"/>
      <w:r w:rsidRPr="00361B76">
        <w:rPr>
          <w:rFonts w:ascii="Arial" w:hAnsi="Arial" w:cs="Arial"/>
          <w:i/>
        </w:rPr>
        <w:t>tumida</w:t>
      </w:r>
      <w:proofErr w:type="spellEnd"/>
      <w:r w:rsidRPr="00361B76">
        <w:rPr>
          <w:rFonts w:ascii="Arial" w:hAnsi="Arial" w:cs="Arial"/>
        </w:rPr>
        <w:t xml:space="preserve"> en colmenas) y se determinó: </w:t>
      </w:r>
    </w:p>
    <w:p w:rsidR="001F34CB" w:rsidRPr="00361B76" w:rsidRDefault="001F34CB" w:rsidP="00361B76">
      <w:pPr>
        <w:spacing w:line="360" w:lineRule="auto"/>
        <w:jc w:val="both"/>
        <w:rPr>
          <w:rFonts w:ascii="Arial" w:hAnsi="Arial" w:cs="Arial"/>
          <w:u w:val="single"/>
        </w:rPr>
      </w:pPr>
      <w:r w:rsidRPr="00361B76">
        <w:rPr>
          <w:rFonts w:ascii="Arial" w:hAnsi="Arial" w:cs="Arial"/>
          <w:u w:val="single"/>
        </w:rPr>
        <w:t xml:space="preserve">Contenido de humedad: </w:t>
      </w:r>
    </w:p>
    <w:p w:rsidR="001F34CB" w:rsidRPr="00361B76" w:rsidRDefault="001F34CB" w:rsidP="00361B76">
      <w:pPr>
        <w:spacing w:line="360" w:lineRule="auto"/>
        <w:jc w:val="both"/>
        <w:rPr>
          <w:rFonts w:ascii="Arial" w:hAnsi="Arial" w:cs="Arial"/>
        </w:rPr>
      </w:pPr>
      <w:r w:rsidRPr="00361B76">
        <w:rPr>
          <w:rFonts w:ascii="Arial" w:hAnsi="Arial" w:cs="Arial"/>
        </w:rPr>
        <w:t xml:space="preserve">El contenido de humedad es el único criterio de composición de la miel, que debe ser cumplido como parte de los estándares de la miel de abejas para su comercialización mundial. Para su evaluación se tomó seis gramos de la miel contaminada en tres de las placas por tratamiento y se colocó en una estufa a 105ºC durante 6 horas. Luego de enfriar en un desecador se volvió a pesar. Los resultados se expresaron en gramos de agua evaporada por 100 gramos de muestra, empleando la siguiente formula:                            </w:t>
      </w:r>
    </w:p>
    <w:p w:rsidR="001F34CB" w:rsidRPr="00361B76" w:rsidRDefault="001F34CB" w:rsidP="00361B76">
      <w:pPr>
        <w:spacing w:line="360" w:lineRule="auto"/>
        <w:jc w:val="both"/>
        <w:rPr>
          <w:rFonts w:ascii="Arial" w:hAnsi="Arial" w:cs="Arial"/>
        </w:rPr>
      </w:pPr>
      <w:r w:rsidRPr="00361B76">
        <w:rPr>
          <w:rFonts w:ascii="Arial" w:hAnsi="Arial" w:cs="Arial"/>
          <w:noProof/>
          <w:lang w:val="es-US" w:eastAsia="es-US"/>
        </w:rPr>
        <w:drawing>
          <wp:anchor distT="0" distB="0" distL="114300" distR="114300" simplePos="0" relativeHeight="251659264" behindDoc="1" locked="0" layoutInCell="1" allowOverlap="1" wp14:anchorId="12C12791" wp14:editId="17179795">
            <wp:simplePos x="0" y="0"/>
            <wp:positionH relativeFrom="margin">
              <wp:posOffset>784860</wp:posOffset>
            </wp:positionH>
            <wp:positionV relativeFrom="paragraph">
              <wp:posOffset>9525</wp:posOffset>
            </wp:positionV>
            <wp:extent cx="2275205" cy="7918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76">
        <w:rPr>
          <w:rFonts w:ascii="Arial" w:hAnsi="Arial" w:cs="Arial"/>
        </w:rPr>
        <w:t xml:space="preserve"> Cálculo: </w:t>
      </w: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both"/>
        <w:rPr>
          <w:rFonts w:ascii="Arial" w:hAnsi="Arial" w:cs="Arial"/>
        </w:rPr>
      </w:pPr>
      <w:r w:rsidRPr="00361B76">
        <w:rPr>
          <w:rFonts w:ascii="Arial" w:hAnsi="Arial" w:cs="Arial"/>
        </w:rPr>
        <w:t xml:space="preserve">Siendo </w:t>
      </w:r>
      <w:proofErr w:type="gramStart"/>
      <w:r w:rsidRPr="00361B76">
        <w:rPr>
          <w:rFonts w:ascii="Arial" w:hAnsi="Arial" w:cs="Arial"/>
        </w:rPr>
        <w:t>M(</w:t>
      </w:r>
      <w:proofErr w:type="gramEnd"/>
      <w:r w:rsidRPr="00361B76">
        <w:rPr>
          <w:rFonts w:ascii="Arial" w:hAnsi="Arial" w:cs="Arial"/>
        </w:rPr>
        <w:t>1): peso en (g) cápsula más muestra antes de colocar en estufa</w:t>
      </w:r>
    </w:p>
    <w:p w:rsidR="001F34CB" w:rsidRPr="00361B76" w:rsidRDefault="001F34CB" w:rsidP="00361B76">
      <w:pPr>
        <w:spacing w:line="360" w:lineRule="auto"/>
        <w:jc w:val="both"/>
        <w:rPr>
          <w:rFonts w:ascii="Arial" w:hAnsi="Arial" w:cs="Arial"/>
        </w:rPr>
      </w:pPr>
      <w:proofErr w:type="gramStart"/>
      <w:r w:rsidRPr="00361B76">
        <w:rPr>
          <w:rFonts w:ascii="Arial" w:hAnsi="Arial" w:cs="Arial"/>
        </w:rPr>
        <w:t>M(</w:t>
      </w:r>
      <w:proofErr w:type="gramEnd"/>
      <w:r w:rsidRPr="00361B76">
        <w:rPr>
          <w:rFonts w:ascii="Arial" w:hAnsi="Arial" w:cs="Arial"/>
        </w:rPr>
        <w:t>2): peso en (g) cápsula más muestra después de desecar</w:t>
      </w:r>
    </w:p>
    <w:p w:rsidR="001F34CB" w:rsidRPr="00361B76" w:rsidRDefault="001F34CB" w:rsidP="00361B76">
      <w:pPr>
        <w:spacing w:line="360" w:lineRule="auto"/>
        <w:jc w:val="both"/>
        <w:rPr>
          <w:rFonts w:ascii="Arial" w:hAnsi="Arial" w:cs="Arial"/>
        </w:rPr>
      </w:pPr>
      <w:proofErr w:type="gramStart"/>
      <w:r w:rsidRPr="00361B76">
        <w:rPr>
          <w:rFonts w:ascii="Arial" w:hAnsi="Arial" w:cs="Arial"/>
        </w:rPr>
        <w:lastRenderedPageBreak/>
        <w:t>M(</w:t>
      </w:r>
      <w:proofErr w:type="gramEnd"/>
      <w:r w:rsidRPr="00361B76">
        <w:rPr>
          <w:rFonts w:ascii="Arial" w:hAnsi="Arial" w:cs="Arial"/>
        </w:rPr>
        <w:t>3): peso en (g) muestra</w:t>
      </w:r>
    </w:p>
    <w:p w:rsidR="001F34CB" w:rsidRPr="00361B76" w:rsidRDefault="001F34CB" w:rsidP="00361B76">
      <w:pPr>
        <w:spacing w:line="360" w:lineRule="auto"/>
        <w:jc w:val="both"/>
        <w:rPr>
          <w:rFonts w:ascii="Arial" w:hAnsi="Arial" w:cs="Arial"/>
        </w:rPr>
      </w:pPr>
      <w:r w:rsidRPr="00361B76">
        <w:rPr>
          <w:rFonts w:ascii="Arial" w:hAnsi="Arial" w:cs="Arial"/>
        </w:rPr>
        <w:t>Para tener un valor de partida se determinó el valor inicial de la muestra de miel a emplear con el mismo proceder para un 17,36 % de humedad calculado.</w:t>
      </w:r>
    </w:p>
    <w:p w:rsidR="001F34CB" w:rsidRPr="00361B76" w:rsidRDefault="001F34CB" w:rsidP="00361B76">
      <w:pPr>
        <w:spacing w:line="360" w:lineRule="auto"/>
        <w:jc w:val="both"/>
        <w:rPr>
          <w:rFonts w:ascii="Arial" w:hAnsi="Arial" w:cs="Arial"/>
        </w:rPr>
      </w:pPr>
      <w:r w:rsidRPr="00361B76">
        <w:rPr>
          <w:rFonts w:ascii="Arial" w:hAnsi="Arial" w:cs="Arial"/>
          <w:u w:val="single"/>
        </w:rPr>
        <w:t>Conductividad eléctrica</w:t>
      </w:r>
      <w:r w:rsidRPr="00361B76">
        <w:rPr>
          <w:rFonts w:ascii="Arial" w:hAnsi="Arial" w:cs="Arial"/>
        </w:rPr>
        <w:t>:</w:t>
      </w:r>
    </w:p>
    <w:p w:rsidR="001A63EC" w:rsidRPr="00361B76" w:rsidRDefault="001F34CB" w:rsidP="00361B76">
      <w:pPr>
        <w:spacing w:line="360" w:lineRule="auto"/>
        <w:jc w:val="both"/>
        <w:rPr>
          <w:rFonts w:ascii="Arial" w:hAnsi="Arial" w:cs="Arial"/>
        </w:rPr>
      </w:pPr>
      <w:r w:rsidRPr="00361B76">
        <w:rPr>
          <w:rFonts w:ascii="Arial" w:hAnsi="Arial" w:cs="Arial"/>
        </w:rPr>
        <w:t xml:space="preserve">En la determinación de la conductividad eléctrica se tomaron los seis gramos restantes en la evaluación del contenido de humedad y diluyó en cinco mililitros de agua destilada </w:t>
      </w:r>
    </w:p>
    <w:p w:rsidR="001F34CB" w:rsidRPr="00361B76" w:rsidRDefault="001A63EC" w:rsidP="00361B76">
      <w:pPr>
        <w:autoSpaceDE w:val="0"/>
        <w:autoSpaceDN w:val="0"/>
        <w:adjustRightInd w:val="0"/>
        <w:spacing w:line="360" w:lineRule="auto"/>
        <w:jc w:val="both"/>
        <w:rPr>
          <w:rFonts w:ascii="Arial" w:hAnsi="Arial" w:cs="Arial"/>
        </w:rPr>
      </w:pPr>
      <w:r w:rsidRPr="00361B76">
        <w:rPr>
          <w:rFonts w:ascii="Arial" w:hAnsi="Arial" w:cs="Arial"/>
        </w:rPr>
        <w:t xml:space="preserve">Y se midió con un </w:t>
      </w:r>
      <w:proofErr w:type="spellStart"/>
      <w:r w:rsidRPr="00361B76">
        <w:rPr>
          <w:rFonts w:ascii="Arial" w:hAnsi="Arial" w:cs="Arial"/>
        </w:rPr>
        <w:t>conductímetro</w:t>
      </w:r>
      <w:proofErr w:type="spellEnd"/>
      <w:r w:rsidRPr="00361B76">
        <w:rPr>
          <w:rFonts w:ascii="Arial" w:hAnsi="Arial" w:cs="Arial"/>
        </w:rPr>
        <w:t xml:space="preserve"> de mesa sobre una disolución de miel al 20 %, preparada en agua destilada libre de CO2, a 20</w:t>
      </w:r>
      <w:r w:rsidR="006708BD">
        <w:rPr>
          <w:rFonts w:ascii="Arial" w:hAnsi="Arial" w:cs="Arial"/>
        </w:rPr>
        <w:t xml:space="preserve"> </w:t>
      </w:r>
      <w:proofErr w:type="spellStart"/>
      <w:r w:rsidR="006708BD">
        <w:rPr>
          <w:rFonts w:ascii="Arial" w:hAnsi="Arial" w:cs="Arial"/>
          <w:vertAlign w:val="superscript"/>
        </w:rPr>
        <w:t>o</w:t>
      </w:r>
      <w:r w:rsidRPr="00361B76">
        <w:rPr>
          <w:rFonts w:ascii="Arial" w:hAnsi="Arial" w:cs="Arial"/>
        </w:rPr>
        <w:t>C.</w:t>
      </w:r>
      <w:proofErr w:type="spellEnd"/>
      <w:r w:rsidRPr="00361B76">
        <w:rPr>
          <w:rFonts w:ascii="Arial" w:hAnsi="Arial" w:cs="Arial"/>
        </w:rPr>
        <w:t xml:space="preserve"> El pH se estableció en una solución de miel al 10% (p/v) empleando un electrodo selectivo calibrado con soluciones buffer de pH 4 y 7 y la acidez libre se realizó por titulación con </w:t>
      </w:r>
      <w:proofErr w:type="spellStart"/>
      <w:r w:rsidRPr="00361B76">
        <w:rPr>
          <w:rFonts w:ascii="Arial" w:hAnsi="Arial" w:cs="Arial"/>
        </w:rPr>
        <w:t>NaOH</w:t>
      </w:r>
      <w:proofErr w:type="spellEnd"/>
      <w:r w:rsidRPr="00361B76">
        <w:rPr>
          <w:rFonts w:ascii="Arial" w:hAnsi="Arial" w:cs="Arial"/>
        </w:rPr>
        <w:t xml:space="preserve"> hasta pH 0 8.2.</w:t>
      </w:r>
      <w:r w:rsidR="001F34CB" w:rsidRPr="00361B76">
        <w:rPr>
          <w:rFonts w:ascii="Arial" w:hAnsi="Arial" w:cs="Arial"/>
        </w:rPr>
        <w:t xml:space="preserve"> Para tener un valor de partida se determinó el valor inicial de la muestra de miel a emplear con el mismo proceder para un 0,97 </w:t>
      </w:r>
      <w:proofErr w:type="spellStart"/>
      <w:r w:rsidR="001F34CB" w:rsidRPr="00361B76">
        <w:rPr>
          <w:rFonts w:ascii="Arial" w:hAnsi="Arial" w:cs="Arial"/>
        </w:rPr>
        <w:t>mS</w:t>
      </w:r>
      <w:proofErr w:type="spellEnd"/>
      <w:r w:rsidR="001F34CB" w:rsidRPr="00361B76">
        <w:rPr>
          <w:rFonts w:ascii="Arial" w:hAnsi="Arial" w:cs="Arial"/>
        </w:rPr>
        <w:t>/cm.</w:t>
      </w: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both"/>
        <w:rPr>
          <w:rFonts w:ascii="Arial" w:hAnsi="Arial" w:cs="Arial"/>
          <w:u w:val="single"/>
        </w:rPr>
      </w:pPr>
      <w:r w:rsidRPr="00361B76">
        <w:rPr>
          <w:rFonts w:ascii="Arial" w:hAnsi="Arial" w:cs="Arial"/>
          <w:u w:val="single"/>
        </w:rPr>
        <w:t>Contenido de minerales (cenizas):</w:t>
      </w:r>
    </w:p>
    <w:p w:rsidR="001F34CB" w:rsidRPr="00361B76" w:rsidRDefault="001F34CB" w:rsidP="00361B76">
      <w:pPr>
        <w:spacing w:line="360" w:lineRule="auto"/>
        <w:jc w:val="both"/>
        <w:rPr>
          <w:rFonts w:ascii="Arial" w:hAnsi="Arial" w:cs="Arial"/>
        </w:rPr>
      </w:pPr>
      <w:r w:rsidRPr="00361B76">
        <w:rPr>
          <w:rFonts w:ascii="Arial" w:hAnsi="Arial" w:cs="Arial"/>
        </w:rPr>
        <w:t>Se evaluó por la relación lineal entre el contenido de cenizas y la conductividad eléctrica, mediante la fórmula A= 0,74/c-0.14, donde C es la conductividad eléctrica en Siemens cm</w:t>
      </w:r>
      <w:r w:rsidRPr="00361B76">
        <w:rPr>
          <w:rFonts w:ascii="Arial" w:hAnsi="Arial" w:cs="Arial"/>
          <w:vertAlign w:val="superscript"/>
        </w:rPr>
        <w:t>-1</w:t>
      </w:r>
      <w:r w:rsidRPr="00361B76">
        <w:rPr>
          <w:rFonts w:ascii="Arial" w:hAnsi="Arial" w:cs="Arial"/>
        </w:rPr>
        <w:t xml:space="preserve"> y A es el contenido de cenizas en g/100g miel.</w:t>
      </w:r>
    </w:p>
    <w:p w:rsidR="001F34CB" w:rsidRPr="00361B76" w:rsidRDefault="001F34CB" w:rsidP="00361B76">
      <w:pPr>
        <w:spacing w:line="360" w:lineRule="auto"/>
        <w:jc w:val="both"/>
        <w:rPr>
          <w:rFonts w:ascii="Arial" w:hAnsi="Arial" w:cs="Arial"/>
        </w:rPr>
      </w:pPr>
      <w:r w:rsidRPr="00361B76">
        <w:rPr>
          <w:rFonts w:ascii="Arial" w:hAnsi="Arial" w:cs="Arial"/>
        </w:rPr>
        <w:t xml:space="preserve">Para tener un valor de partida se determinó el valor inicial de la muestra de miel a emplear con el mismo proceder para un 132 </w:t>
      </w:r>
      <w:r w:rsidRPr="00361B76">
        <w:rPr>
          <w:rFonts w:ascii="Arial" w:hAnsi="Arial" w:cs="Arial"/>
          <w:lang w:val="x-none"/>
        </w:rPr>
        <w:t>ppm</w:t>
      </w:r>
      <w:r w:rsidRPr="00361B76">
        <w:rPr>
          <w:rFonts w:ascii="Arial" w:hAnsi="Arial" w:cs="Arial"/>
          <w:lang w:val="es-ES"/>
        </w:rPr>
        <w:t xml:space="preserve"> de cenizas, por debajo de los rangos críticos</w:t>
      </w:r>
      <w:r w:rsidRPr="00361B76">
        <w:rPr>
          <w:rFonts w:ascii="Arial" w:hAnsi="Arial" w:cs="Arial"/>
        </w:rPr>
        <w:t>.</w:t>
      </w: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both"/>
        <w:rPr>
          <w:rFonts w:ascii="Arial" w:hAnsi="Arial" w:cs="Arial"/>
          <w:u w:val="single"/>
        </w:rPr>
      </w:pPr>
      <w:r w:rsidRPr="00361B76">
        <w:rPr>
          <w:rFonts w:ascii="Arial" w:hAnsi="Arial" w:cs="Arial"/>
          <w:u w:val="single"/>
        </w:rPr>
        <w:t>Acidez:</w:t>
      </w:r>
    </w:p>
    <w:p w:rsidR="001F34CB" w:rsidRDefault="001F34CB" w:rsidP="00361B76">
      <w:pPr>
        <w:spacing w:line="360" w:lineRule="auto"/>
        <w:jc w:val="both"/>
        <w:rPr>
          <w:rFonts w:ascii="Arial" w:hAnsi="Arial" w:cs="Arial"/>
        </w:rPr>
      </w:pPr>
      <w:r w:rsidRPr="00361B76">
        <w:rPr>
          <w:rFonts w:ascii="Arial" w:hAnsi="Arial" w:cs="Arial"/>
        </w:rPr>
        <w:t xml:space="preserve">Este indicador se determinó en las tres placas/tratamiento/cepa utilizadas en el cálculo de conductividad eléctrica. Las muestras fueron analizadas utilizando un </w:t>
      </w:r>
      <w:proofErr w:type="spellStart"/>
      <w:r w:rsidRPr="00361B76">
        <w:rPr>
          <w:rFonts w:ascii="Arial" w:hAnsi="Arial" w:cs="Arial"/>
        </w:rPr>
        <w:t>Phmetro</w:t>
      </w:r>
      <w:proofErr w:type="spellEnd"/>
      <w:r w:rsidRPr="00361B76">
        <w:rPr>
          <w:rFonts w:ascii="Arial" w:hAnsi="Arial" w:cs="Arial"/>
        </w:rPr>
        <w:t xml:space="preserve">  (</w:t>
      </w:r>
      <w:proofErr w:type="spellStart"/>
      <w:r w:rsidRPr="00361B76">
        <w:rPr>
          <w:rFonts w:ascii="Arial" w:hAnsi="Arial" w:cs="Arial"/>
        </w:rPr>
        <w:t>model</w:t>
      </w:r>
      <w:proofErr w:type="spellEnd"/>
      <w:r w:rsidRPr="00361B76">
        <w:rPr>
          <w:rFonts w:ascii="Arial" w:hAnsi="Arial" w:cs="Arial"/>
        </w:rPr>
        <w:t xml:space="preserve"> </w:t>
      </w:r>
      <w:proofErr w:type="spellStart"/>
      <w:r w:rsidRPr="00361B76">
        <w:rPr>
          <w:rFonts w:ascii="Arial" w:hAnsi="Arial" w:cs="Arial"/>
        </w:rPr>
        <w:t>PHmterS</w:t>
      </w:r>
      <w:proofErr w:type="spellEnd"/>
      <w:r w:rsidRPr="00361B76">
        <w:rPr>
          <w:rFonts w:ascii="Arial" w:hAnsi="Arial" w:cs="Arial"/>
        </w:rPr>
        <w:t>).</w:t>
      </w:r>
    </w:p>
    <w:p w:rsidR="000103A0" w:rsidRDefault="000103A0" w:rsidP="00361B76">
      <w:pPr>
        <w:spacing w:line="360" w:lineRule="auto"/>
        <w:jc w:val="both"/>
        <w:rPr>
          <w:rFonts w:ascii="Arial" w:hAnsi="Arial" w:cs="Arial"/>
        </w:rPr>
      </w:pPr>
    </w:p>
    <w:p w:rsidR="006708BD" w:rsidRPr="006708BD" w:rsidRDefault="006708BD" w:rsidP="006708BD">
      <w:pPr>
        <w:spacing w:line="360" w:lineRule="auto"/>
        <w:jc w:val="both"/>
        <w:rPr>
          <w:rFonts w:ascii="Arial" w:hAnsi="Arial" w:cs="Arial"/>
          <w:u w:val="single"/>
        </w:rPr>
      </w:pPr>
      <w:r w:rsidRPr="006708BD">
        <w:rPr>
          <w:rFonts w:ascii="Arial" w:eastAsiaTheme="minorHAnsi" w:hAnsi="Arial" w:cs="Arial"/>
          <w:u w:val="single"/>
          <w:lang w:val="es-US" w:eastAsia="en-US"/>
        </w:rPr>
        <w:t>Azucares reductores</w:t>
      </w:r>
      <w:r>
        <w:rPr>
          <w:rFonts w:ascii="Arial" w:eastAsiaTheme="minorHAnsi" w:hAnsi="Arial" w:cs="Arial"/>
          <w:u w:val="single"/>
          <w:lang w:val="es-US" w:eastAsia="en-US"/>
        </w:rPr>
        <w:t>:</w:t>
      </w:r>
    </w:p>
    <w:p w:rsidR="006708BD" w:rsidRPr="006708BD" w:rsidRDefault="006708BD" w:rsidP="006708BD">
      <w:pPr>
        <w:autoSpaceDE w:val="0"/>
        <w:autoSpaceDN w:val="0"/>
        <w:adjustRightInd w:val="0"/>
        <w:spacing w:line="360" w:lineRule="auto"/>
        <w:jc w:val="both"/>
        <w:rPr>
          <w:rFonts w:ascii="Arial" w:hAnsi="Arial" w:cs="Arial"/>
        </w:rPr>
      </w:pPr>
      <w:r w:rsidRPr="006708BD">
        <w:rPr>
          <w:rFonts w:ascii="Arial" w:eastAsiaTheme="minorHAnsi" w:hAnsi="Arial" w:cs="Arial"/>
          <w:lang w:val="es-US" w:eastAsia="en-US"/>
        </w:rPr>
        <w:t>Los azucares reductores se determinaron espectrofotométricamente</w:t>
      </w:r>
      <w:r w:rsidR="0072451D">
        <w:rPr>
          <w:rFonts w:ascii="Arial" w:eastAsiaTheme="minorHAnsi" w:hAnsi="Arial" w:cs="Arial"/>
          <w:lang w:val="es-US" w:eastAsia="en-US"/>
        </w:rPr>
        <w:t xml:space="preserve"> con una muestra de 1 ml de la miel empleada en la conductividad al 20%,</w:t>
      </w:r>
      <w:r w:rsidRPr="006708BD">
        <w:rPr>
          <w:rFonts w:ascii="Arial" w:eastAsiaTheme="minorHAnsi" w:hAnsi="Arial" w:cs="Arial"/>
          <w:lang w:val="es-US" w:eastAsia="en-US"/>
        </w:rPr>
        <w:t xml:space="preserve"> empleando el reactivo  ácido 3,5-dinitrosalicilico (DNSA) siguiendo la metodología descrita por </w:t>
      </w:r>
      <w:proofErr w:type="spellStart"/>
      <w:r w:rsidRPr="006708BD">
        <w:rPr>
          <w:rFonts w:ascii="Arial" w:eastAsiaTheme="minorHAnsi" w:hAnsi="Arial" w:cs="Arial"/>
          <w:lang w:val="es-US" w:eastAsia="en-US"/>
        </w:rPr>
        <w:t>Saxena</w:t>
      </w:r>
      <w:proofErr w:type="spellEnd"/>
      <w:r w:rsidRPr="006708BD">
        <w:rPr>
          <w:rFonts w:ascii="Arial" w:eastAsiaTheme="minorHAnsi" w:hAnsi="Arial" w:cs="Arial"/>
          <w:lang w:val="es-US" w:eastAsia="en-US"/>
        </w:rPr>
        <w:t xml:space="preserve">, et al. (2010). La glucosa, fructosa y sacarosa se cuantificaron mediante cromatografía líquida de alta eficiencia empleando un detector de índice de refracción. Se empleó una columna </w:t>
      </w:r>
      <w:r w:rsidRPr="006708BD">
        <w:rPr>
          <w:rFonts w:ascii="Arial" w:eastAsiaTheme="minorHAnsi" w:hAnsi="Arial" w:cs="Arial"/>
          <w:lang w:val="es-US" w:eastAsia="en-US"/>
        </w:rPr>
        <w:lastRenderedPageBreak/>
        <w:t xml:space="preserve">pinacle II Amino (150*4.6mm, 3µm) con temperatura de horno de 35 </w:t>
      </w:r>
      <w:proofErr w:type="spellStart"/>
      <w:r w:rsidRPr="006708BD">
        <w:rPr>
          <w:rFonts w:ascii="Arial" w:eastAsiaTheme="minorHAnsi" w:hAnsi="Arial" w:cs="Arial"/>
          <w:vertAlign w:val="superscript"/>
          <w:lang w:val="es-US" w:eastAsia="en-US"/>
        </w:rPr>
        <w:t>o</w:t>
      </w:r>
      <w:r w:rsidRPr="006708BD">
        <w:rPr>
          <w:rFonts w:ascii="Arial" w:eastAsiaTheme="minorHAnsi" w:hAnsi="Arial" w:cs="Arial"/>
          <w:lang w:val="es-US" w:eastAsia="en-US"/>
        </w:rPr>
        <w:t>C</w:t>
      </w:r>
      <w:proofErr w:type="spellEnd"/>
      <w:r w:rsidRPr="006708BD">
        <w:rPr>
          <w:rFonts w:ascii="Arial" w:eastAsiaTheme="minorHAnsi" w:hAnsi="Arial" w:cs="Arial"/>
          <w:lang w:val="es-US" w:eastAsia="en-US"/>
        </w:rPr>
        <w:t xml:space="preserve"> y como fase móvil la mezcla </w:t>
      </w:r>
      <w:proofErr w:type="spellStart"/>
      <w:r w:rsidRPr="006708BD">
        <w:rPr>
          <w:rFonts w:ascii="Arial" w:eastAsiaTheme="minorHAnsi" w:hAnsi="Arial" w:cs="Arial"/>
          <w:lang w:val="es-US" w:eastAsia="en-US"/>
        </w:rPr>
        <w:t>acetonitrilo</w:t>
      </w:r>
      <w:proofErr w:type="spellEnd"/>
      <w:r w:rsidRPr="006708BD">
        <w:rPr>
          <w:rFonts w:ascii="Arial" w:eastAsiaTheme="minorHAnsi" w:hAnsi="Arial" w:cs="Arial"/>
          <w:lang w:val="es-US" w:eastAsia="en-US"/>
        </w:rPr>
        <w:t>: agua 90:10 a un flujo de</w:t>
      </w: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both"/>
        <w:rPr>
          <w:rFonts w:ascii="Arial" w:hAnsi="Arial" w:cs="Arial"/>
        </w:rPr>
      </w:pPr>
      <w:r w:rsidRPr="00361B76">
        <w:rPr>
          <w:rFonts w:ascii="Arial" w:hAnsi="Arial" w:cs="Arial"/>
        </w:rPr>
        <w:t xml:space="preserve">Se realizó un análisis factorial, donde se estableció una comparación entre las medias de la interacción entre las cepas y las concentraciones y se tuvo en cuenta que se cumpliera </w:t>
      </w:r>
      <w:r w:rsidRPr="00361B76">
        <w:rPr>
          <w:rFonts w:ascii="Arial" w:hAnsi="Arial" w:cs="Arial"/>
          <w:lang w:eastAsia="es-ES"/>
        </w:rPr>
        <w:t xml:space="preserve">el supuesto de normalidad por </w:t>
      </w:r>
      <w:proofErr w:type="spellStart"/>
      <w:r w:rsidRPr="00361B76">
        <w:rPr>
          <w:rFonts w:ascii="Arial" w:hAnsi="Arial" w:cs="Arial"/>
        </w:rPr>
        <w:t>Kolmogorov</w:t>
      </w:r>
      <w:proofErr w:type="spellEnd"/>
      <w:r w:rsidRPr="00361B76">
        <w:rPr>
          <w:rFonts w:ascii="Arial" w:hAnsi="Arial" w:cs="Arial"/>
        </w:rPr>
        <w:t xml:space="preserve"> </w:t>
      </w:r>
      <w:proofErr w:type="spellStart"/>
      <w:r w:rsidRPr="00361B76">
        <w:rPr>
          <w:rFonts w:ascii="Arial" w:hAnsi="Arial" w:cs="Arial"/>
        </w:rPr>
        <w:t>Smirnov</w:t>
      </w:r>
      <w:proofErr w:type="spellEnd"/>
      <w:r w:rsidRPr="00361B76">
        <w:rPr>
          <w:rFonts w:ascii="Arial" w:hAnsi="Arial" w:cs="Arial"/>
        </w:rPr>
        <w:t xml:space="preserve"> y homogeneidad de varianzas </w:t>
      </w:r>
      <w:r w:rsidRPr="00361B76">
        <w:rPr>
          <w:rFonts w:ascii="Arial" w:hAnsi="Arial" w:cs="Arial"/>
          <w:lang w:eastAsia="es-ES"/>
        </w:rPr>
        <w:t xml:space="preserve">por la prueba de </w:t>
      </w:r>
      <w:proofErr w:type="spellStart"/>
      <w:r w:rsidRPr="00361B76">
        <w:rPr>
          <w:rFonts w:ascii="Arial" w:hAnsi="Arial" w:cs="Arial"/>
          <w:lang w:eastAsia="es-ES"/>
        </w:rPr>
        <w:t>Levene</w:t>
      </w:r>
      <w:proofErr w:type="spellEnd"/>
      <w:r w:rsidRPr="00361B76">
        <w:rPr>
          <w:rFonts w:ascii="Arial" w:hAnsi="Arial" w:cs="Arial"/>
          <w:lang w:eastAsia="es-ES"/>
        </w:rPr>
        <w:t>. El a</w:t>
      </w:r>
      <w:r w:rsidRPr="00361B76">
        <w:rPr>
          <w:rFonts w:ascii="Arial" w:hAnsi="Arial" w:cs="Arial"/>
        </w:rPr>
        <w:t>nálisis se realizó en el paquete estadístico SPSS versión 15.0 para Windows.</w:t>
      </w:r>
    </w:p>
    <w:p w:rsidR="001F34CB" w:rsidRPr="00361B76" w:rsidRDefault="001F34CB" w:rsidP="00361B76">
      <w:pPr>
        <w:spacing w:line="360" w:lineRule="auto"/>
        <w:jc w:val="both"/>
        <w:rPr>
          <w:rFonts w:ascii="Arial" w:hAnsi="Arial" w:cs="Arial"/>
        </w:rPr>
      </w:pPr>
      <w:r w:rsidRPr="00361B76">
        <w:rPr>
          <w:rFonts w:ascii="Arial" w:hAnsi="Arial" w:cs="Arial"/>
        </w:rPr>
        <w:t xml:space="preserve">Para tener un valor de partida se determinó el valor inicial de la muestra de miel a emplear con el mismo proceder para un </w:t>
      </w:r>
      <w:proofErr w:type="spellStart"/>
      <w:r w:rsidRPr="00361B76">
        <w:rPr>
          <w:rFonts w:ascii="Arial" w:hAnsi="Arial" w:cs="Arial"/>
        </w:rPr>
        <w:t>Ph</w:t>
      </w:r>
      <w:proofErr w:type="spellEnd"/>
      <w:r w:rsidRPr="00361B76">
        <w:rPr>
          <w:rFonts w:ascii="Arial" w:hAnsi="Arial" w:cs="Arial"/>
        </w:rPr>
        <w:t xml:space="preserve"> igual a 4,03.</w:t>
      </w:r>
    </w:p>
    <w:p w:rsidR="001F34CB" w:rsidRPr="00361B76" w:rsidRDefault="001F34CB" w:rsidP="00361B76">
      <w:pPr>
        <w:spacing w:line="360" w:lineRule="auto"/>
        <w:rPr>
          <w:rFonts w:ascii="Arial" w:hAnsi="Arial" w:cs="Arial"/>
        </w:rPr>
      </w:pPr>
    </w:p>
    <w:p w:rsidR="001F34CB" w:rsidRPr="00361B76" w:rsidRDefault="001F34CB" w:rsidP="00361B76">
      <w:pPr>
        <w:spacing w:line="360" w:lineRule="auto"/>
        <w:jc w:val="center"/>
        <w:rPr>
          <w:rFonts w:ascii="Arial" w:hAnsi="Arial" w:cs="Arial"/>
          <w:b/>
        </w:rPr>
      </w:pPr>
      <w:r w:rsidRPr="00361B76">
        <w:rPr>
          <w:rFonts w:ascii="Arial" w:hAnsi="Arial" w:cs="Arial"/>
          <w:b/>
        </w:rPr>
        <w:t xml:space="preserve">Resultados y discusión </w:t>
      </w:r>
    </w:p>
    <w:p w:rsidR="001F34CB" w:rsidRPr="00361B76" w:rsidRDefault="001F34CB" w:rsidP="00361B76">
      <w:pPr>
        <w:spacing w:line="360" w:lineRule="auto"/>
        <w:jc w:val="both"/>
        <w:rPr>
          <w:rFonts w:ascii="Arial" w:hAnsi="Arial" w:cs="Arial"/>
        </w:rPr>
      </w:pPr>
      <w:r w:rsidRPr="00361B76">
        <w:rPr>
          <w:rFonts w:ascii="Arial" w:hAnsi="Arial" w:cs="Arial"/>
        </w:rPr>
        <w:t>Las mayores transformaciones en los caracteres bromatológicos se alcanzaron a los cinco días de iniciado el ensayo sin variación en el tiempo hasta la última observación a los 21 días. Por tal motivo se representaron y tabularon solo los valores obtenidos en el análisis factorial a los cinco días.</w:t>
      </w: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both"/>
        <w:rPr>
          <w:rFonts w:ascii="Arial" w:hAnsi="Arial" w:cs="Arial"/>
        </w:rPr>
      </w:pPr>
      <w:r w:rsidRPr="00361B76">
        <w:rPr>
          <w:rFonts w:ascii="Arial" w:hAnsi="Arial" w:cs="Arial"/>
        </w:rPr>
        <w:t xml:space="preserve">En el análisis de la distribución de la humedad transcurrido cinco días de expuesta la miel a la acción de las esporas de los entomopatógenos no se observa diferencias estadísticas entre las cepas, las concentraciones ni en la interacción de las dos variables como se muestra en la tabla 1 con un ligero incremento a la humedad inicial en 1,28% como promedio. Por tal razón una vez demostrado la acción sobre el control del insecto </w:t>
      </w:r>
      <w:r w:rsidRPr="00361B76">
        <w:rPr>
          <w:rFonts w:ascii="Arial" w:hAnsi="Arial" w:cs="Arial"/>
          <w:i/>
        </w:rPr>
        <w:t xml:space="preserve">A. </w:t>
      </w:r>
      <w:proofErr w:type="spellStart"/>
      <w:r w:rsidRPr="00361B76">
        <w:rPr>
          <w:rFonts w:ascii="Arial" w:hAnsi="Arial" w:cs="Arial"/>
          <w:i/>
        </w:rPr>
        <w:t>tumida</w:t>
      </w:r>
      <w:proofErr w:type="spellEnd"/>
      <w:r w:rsidRPr="00361B76">
        <w:rPr>
          <w:rFonts w:ascii="Arial" w:hAnsi="Arial" w:cs="Arial"/>
        </w:rPr>
        <w:t xml:space="preserve"> se puede aplicar directamente en su manejo sin una afectación directa a este indicador bromatológico.    </w:t>
      </w:r>
    </w:p>
    <w:p w:rsidR="001F34CB" w:rsidRPr="00361B76" w:rsidRDefault="001F34CB" w:rsidP="00361B76">
      <w:pPr>
        <w:spacing w:line="360" w:lineRule="auto"/>
        <w:rPr>
          <w:rFonts w:ascii="Arial" w:hAnsi="Arial" w:cs="Arial"/>
          <w:lang w:val="x-none"/>
        </w:rPr>
      </w:pPr>
    </w:p>
    <w:p w:rsidR="001F34CB" w:rsidRPr="00361B76" w:rsidRDefault="001F34CB" w:rsidP="00361B76">
      <w:pPr>
        <w:spacing w:line="360" w:lineRule="auto"/>
        <w:jc w:val="center"/>
        <w:rPr>
          <w:rFonts w:ascii="Arial" w:hAnsi="Arial" w:cs="Arial"/>
          <w:lang w:val="es-US"/>
        </w:rPr>
      </w:pPr>
      <w:r w:rsidRPr="00361B76">
        <w:rPr>
          <w:rFonts w:ascii="Arial" w:hAnsi="Arial" w:cs="Arial"/>
          <w:lang w:val="x-none"/>
        </w:rPr>
        <w:t xml:space="preserve">Tabla 1. Porcentaje de humedad a los </w:t>
      </w:r>
      <w:r w:rsidRPr="00361B76">
        <w:rPr>
          <w:rFonts w:ascii="Arial" w:hAnsi="Arial" w:cs="Arial"/>
          <w:lang w:val="es-ES"/>
        </w:rPr>
        <w:t>cinco</w:t>
      </w:r>
      <w:r w:rsidRPr="00361B76">
        <w:rPr>
          <w:rFonts w:ascii="Arial" w:hAnsi="Arial" w:cs="Arial"/>
          <w:lang w:val="x-none"/>
        </w:rPr>
        <w:t xml:space="preserve"> días</w:t>
      </w:r>
      <w:r w:rsidRPr="00361B76">
        <w:rPr>
          <w:rFonts w:ascii="Arial" w:hAnsi="Arial" w:cs="Arial"/>
          <w:lang w:val="es-ES"/>
        </w:rPr>
        <w:t xml:space="preserve">, </w:t>
      </w:r>
      <w:r w:rsidRPr="00361B76">
        <w:rPr>
          <w:rFonts w:ascii="Arial" w:hAnsi="Arial" w:cs="Arial"/>
          <w:lang w:val="x-none"/>
        </w:rPr>
        <w:t>Rango crítico 17-20 %</w:t>
      </w:r>
    </w:p>
    <w:tbl>
      <w:tblPr>
        <w:tblW w:w="8131" w:type="dxa"/>
        <w:jc w:val="center"/>
        <w:tblCellMar>
          <w:left w:w="0" w:type="dxa"/>
          <w:right w:w="0" w:type="dxa"/>
        </w:tblCellMar>
        <w:tblLook w:val="04A0" w:firstRow="1" w:lastRow="0" w:firstColumn="1" w:lastColumn="0" w:noHBand="0" w:noVBand="1"/>
      </w:tblPr>
      <w:tblGrid>
        <w:gridCol w:w="1764"/>
        <w:gridCol w:w="1101"/>
        <w:gridCol w:w="59"/>
        <w:gridCol w:w="309"/>
        <w:gridCol w:w="851"/>
        <w:gridCol w:w="499"/>
        <w:gridCol w:w="661"/>
        <w:gridCol w:w="513"/>
        <w:gridCol w:w="647"/>
        <w:gridCol w:w="910"/>
        <w:gridCol w:w="817"/>
      </w:tblGrid>
      <w:tr w:rsidR="001F34CB" w:rsidRPr="00361B76" w:rsidTr="006C0AE7">
        <w:trPr>
          <w:trHeight w:val="223"/>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roofErr w:type="spellStart"/>
            <w:r w:rsidRPr="00361B76">
              <w:rPr>
                <w:rFonts w:ascii="Arial" w:hAnsi="Arial" w:cs="Arial"/>
                <w:lang w:val="en-US"/>
              </w:rPr>
              <w:t>Concentración</w:t>
            </w:r>
            <w:proofErr w:type="spellEnd"/>
          </w:p>
        </w:tc>
        <w:tc>
          <w:tcPr>
            <w:tcW w:w="1160"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vertAlign w:val="superscript"/>
                <w:lang w:val="es-US"/>
              </w:rPr>
            </w:pPr>
            <w:r w:rsidRPr="00361B76">
              <w:rPr>
                <w:rFonts w:ascii="Arial" w:hAnsi="Arial" w:cs="Arial"/>
              </w:rPr>
              <w:t>2,36x10</w:t>
            </w:r>
            <w:r w:rsidRPr="00361B76">
              <w:rPr>
                <w:rFonts w:ascii="Arial" w:hAnsi="Arial" w:cs="Arial"/>
                <w:vertAlign w:val="superscript"/>
              </w:rPr>
              <w:t>5</w:t>
            </w:r>
          </w:p>
        </w:tc>
        <w:tc>
          <w:tcPr>
            <w:tcW w:w="1160"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rPr>
              <w:t>2,36x10</w:t>
            </w:r>
            <w:r w:rsidRPr="00361B76">
              <w:rPr>
                <w:rFonts w:ascii="Arial" w:hAnsi="Arial" w:cs="Arial"/>
                <w:vertAlign w:val="superscript"/>
                <w:lang w:val="en-US"/>
              </w:rPr>
              <w:t>6</w:t>
            </w:r>
          </w:p>
        </w:tc>
        <w:tc>
          <w:tcPr>
            <w:tcW w:w="1160"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rPr>
              <w:t>2,36x10</w:t>
            </w:r>
            <w:r w:rsidRPr="00361B76">
              <w:rPr>
                <w:rFonts w:ascii="Arial" w:hAnsi="Arial" w:cs="Arial"/>
                <w:vertAlign w:val="superscript"/>
                <w:lang w:val="en-US"/>
              </w:rPr>
              <w:t>7</w:t>
            </w:r>
          </w:p>
        </w:tc>
        <w:tc>
          <w:tcPr>
            <w:tcW w:w="1160"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rPr>
              <w:t>2,36x10</w:t>
            </w:r>
            <w:r w:rsidRPr="00361B76">
              <w:rPr>
                <w:rFonts w:ascii="Arial" w:hAnsi="Arial" w:cs="Arial"/>
                <w:vertAlign w:val="superscript"/>
                <w:lang w:val="en-US"/>
              </w:rPr>
              <w:t>8</w:t>
            </w:r>
          </w:p>
        </w:tc>
        <w:tc>
          <w:tcPr>
            <w:tcW w:w="9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
        </w:tc>
        <w:tc>
          <w:tcPr>
            <w:tcW w:w="8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
        </w:tc>
      </w:tr>
      <w:tr w:rsidR="001F34CB" w:rsidRPr="00361B76" w:rsidTr="006C0AE7">
        <w:trPr>
          <w:trHeight w:val="316"/>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roofErr w:type="spellStart"/>
            <w:r w:rsidRPr="00361B76">
              <w:rPr>
                <w:rFonts w:ascii="Arial" w:hAnsi="Arial" w:cs="Arial"/>
                <w:lang w:val="en-US"/>
              </w:rPr>
              <w:t>Cepas</w:t>
            </w:r>
            <w:proofErr w:type="spellEnd"/>
          </w:p>
        </w:tc>
        <w:tc>
          <w:tcPr>
            <w:tcW w:w="4640" w:type="dxa"/>
            <w:gridSpan w:val="8"/>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
        </w:tc>
        <w:tc>
          <w:tcPr>
            <w:tcW w:w="9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 xml:space="preserve">Media  </w:t>
            </w:r>
            <w:proofErr w:type="spellStart"/>
            <w:r w:rsidRPr="00361B76">
              <w:rPr>
                <w:rFonts w:ascii="Arial" w:hAnsi="Arial" w:cs="Arial"/>
                <w:lang w:val="en-US"/>
              </w:rPr>
              <w:t>Cepas</w:t>
            </w:r>
            <w:proofErr w:type="spellEnd"/>
          </w:p>
        </w:tc>
        <w:tc>
          <w:tcPr>
            <w:tcW w:w="8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EE (±)</w:t>
            </w:r>
          </w:p>
        </w:tc>
      </w:tr>
      <w:tr w:rsidR="001F34CB" w:rsidRPr="00361B76" w:rsidTr="006C0AE7">
        <w:trPr>
          <w:trHeight w:val="223"/>
          <w:jc w:val="center"/>
        </w:trPr>
        <w:tc>
          <w:tcPr>
            <w:tcW w:w="1764"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x-none"/>
              </w:rPr>
              <w:t>OMRI listeo®</w:t>
            </w:r>
          </w:p>
        </w:tc>
        <w:tc>
          <w:tcPr>
            <w:tcW w:w="1101"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18,07</w:t>
            </w:r>
          </w:p>
        </w:tc>
        <w:tc>
          <w:tcPr>
            <w:tcW w:w="1219"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18,48</w:t>
            </w:r>
          </w:p>
        </w:tc>
        <w:tc>
          <w:tcPr>
            <w:tcW w:w="1160"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18,64</w:t>
            </w:r>
          </w:p>
        </w:tc>
        <w:tc>
          <w:tcPr>
            <w:tcW w:w="1160"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19,21</w:t>
            </w:r>
          </w:p>
        </w:tc>
        <w:tc>
          <w:tcPr>
            <w:tcW w:w="91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18,62</w:t>
            </w:r>
          </w:p>
        </w:tc>
        <w:tc>
          <w:tcPr>
            <w:tcW w:w="817"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
        </w:tc>
      </w:tr>
      <w:tr w:rsidR="001F34CB" w:rsidRPr="00361B76" w:rsidTr="006C0AE7">
        <w:trPr>
          <w:trHeight w:val="223"/>
          <w:jc w:val="center"/>
        </w:trPr>
        <w:tc>
          <w:tcPr>
            <w:tcW w:w="176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lastRenderedPageBreak/>
              <w:t>Bb 111</w:t>
            </w:r>
          </w:p>
        </w:tc>
        <w:tc>
          <w:tcPr>
            <w:tcW w:w="1101"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18,67</w:t>
            </w:r>
          </w:p>
        </w:tc>
        <w:tc>
          <w:tcPr>
            <w:tcW w:w="1219"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18,94</w:t>
            </w:r>
          </w:p>
        </w:tc>
        <w:tc>
          <w:tcPr>
            <w:tcW w:w="1160"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19,31</w:t>
            </w:r>
          </w:p>
        </w:tc>
        <w:tc>
          <w:tcPr>
            <w:tcW w:w="1160"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19,54</w:t>
            </w:r>
          </w:p>
        </w:tc>
        <w:tc>
          <w:tcPr>
            <w:tcW w:w="91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19,11</w:t>
            </w:r>
          </w:p>
        </w:tc>
        <w:tc>
          <w:tcPr>
            <w:tcW w:w="817"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
        </w:tc>
      </w:tr>
      <w:tr w:rsidR="001F34CB" w:rsidRPr="00361B76" w:rsidTr="006C0AE7">
        <w:trPr>
          <w:trHeight w:val="449"/>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 xml:space="preserve">Media  </w:t>
            </w:r>
            <w:proofErr w:type="spellStart"/>
            <w:r w:rsidRPr="00361B76">
              <w:rPr>
                <w:rFonts w:ascii="Arial" w:hAnsi="Arial" w:cs="Arial"/>
                <w:lang w:val="en-US"/>
              </w:rPr>
              <w:t>Concentración</w:t>
            </w:r>
            <w:proofErr w:type="spellEnd"/>
          </w:p>
        </w:tc>
        <w:tc>
          <w:tcPr>
            <w:tcW w:w="110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18,37</w:t>
            </w:r>
          </w:p>
        </w:tc>
        <w:tc>
          <w:tcPr>
            <w:tcW w:w="1219" w:type="dxa"/>
            <w:gridSpan w:val="3"/>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18,71</w:t>
            </w:r>
          </w:p>
        </w:tc>
        <w:tc>
          <w:tcPr>
            <w:tcW w:w="1160"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19,09</w:t>
            </w:r>
          </w:p>
        </w:tc>
        <w:tc>
          <w:tcPr>
            <w:tcW w:w="1160"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19,37</w:t>
            </w:r>
          </w:p>
        </w:tc>
        <w:tc>
          <w:tcPr>
            <w:tcW w:w="9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18,86</w:t>
            </w:r>
          </w:p>
        </w:tc>
        <w:tc>
          <w:tcPr>
            <w:tcW w:w="8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0,056</w:t>
            </w:r>
          </w:p>
        </w:tc>
      </w:tr>
      <w:tr w:rsidR="001F34CB" w:rsidRPr="00361B76" w:rsidTr="006C0AE7">
        <w:trPr>
          <w:trHeight w:val="223"/>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EE (±)</w:t>
            </w:r>
          </w:p>
        </w:tc>
        <w:tc>
          <w:tcPr>
            <w:tcW w:w="4640" w:type="dxa"/>
            <w:gridSpan w:val="8"/>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0,023</w:t>
            </w:r>
          </w:p>
        </w:tc>
        <w:tc>
          <w:tcPr>
            <w:tcW w:w="9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0,020</w:t>
            </w:r>
          </w:p>
        </w:tc>
        <w:tc>
          <w:tcPr>
            <w:tcW w:w="8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
        </w:tc>
      </w:tr>
      <w:tr w:rsidR="001F34CB" w:rsidRPr="00361B76" w:rsidTr="006C0AE7">
        <w:trPr>
          <w:trHeight w:val="223"/>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CV (%)</w:t>
            </w:r>
          </w:p>
        </w:tc>
        <w:tc>
          <w:tcPr>
            <w:tcW w:w="1469" w:type="dxa"/>
            <w:gridSpan w:val="3"/>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
        </w:tc>
        <w:tc>
          <w:tcPr>
            <w:tcW w:w="1350"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
        </w:tc>
        <w:tc>
          <w:tcPr>
            <w:tcW w:w="1174"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
        </w:tc>
        <w:tc>
          <w:tcPr>
            <w:tcW w:w="64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
        </w:tc>
        <w:tc>
          <w:tcPr>
            <w:tcW w:w="9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p>
        </w:tc>
        <w:tc>
          <w:tcPr>
            <w:tcW w:w="8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3,68</w:t>
            </w:r>
          </w:p>
        </w:tc>
      </w:tr>
    </w:tbl>
    <w:p w:rsidR="001F34CB" w:rsidRPr="00361B76" w:rsidRDefault="001F34CB" w:rsidP="00361B76">
      <w:pPr>
        <w:spacing w:line="360" w:lineRule="auto"/>
        <w:jc w:val="both"/>
        <w:rPr>
          <w:rFonts w:ascii="Arial" w:eastAsia="Calibri" w:hAnsi="Arial" w:cs="Arial"/>
        </w:rPr>
      </w:pPr>
      <w:r w:rsidRPr="00361B76">
        <w:rPr>
          <w:rFonts w:ascii="Arial" w:hAnsi="Arial" w:cs="Arial"/>
        </w:rPr>
        <w:t>Letras mayúsculas desiguales para las medias de las interacciones difieren para p ≤0,05</w:t>
      </w:r>
      <w:r w:rsidRPr="00361B76">
        <w:rPr>
          <w:rFonts w:ascii="Arial" w:eastAsia="Calibri" w:hAnsi="Arial" w:cs="Arial"/>
        </w:rPr>
        <w:t xml:space="preserve"> según prueba de rangos múltiples de </w:t>
      </w:r>
      <w:proofErr w:type="spellStart"/>
      <w:r w:rsidRPr="00361B76">
        <w:rPr>
          <w:rFonts w:ascii="Arial" w:eastAsia="Calibri" w:hAnsi="Arial" w:cs="Arial"/>
        </w:rPr>
        <w:t>Tukey</w:t>
      </w:r>
      <w:proofErr w:type="spellEnd"/>
    </w:p>
    <w:p w:rsidR="001F34CB" w:rsidRPr="00361B76" w:rsidRDefault="001F34CB" w:rsidP="00361B76">
      <w:pPr>
        <w:spacing w:line="360" w:lineRule="auto"/>
        <w:jc w:val="both"/>
        <w:rPr>
          <w:rFonts w:ascii="Arial" w:hAnsi="Arial" w:cs="Arial"/>
        </w:rPr>
      </w:pPr>
      <w:r w:rsidRPr="00361B76">
        <w:rPr>
          <w:rFonts w:ascii="Arial" w:hAnsi="Arial" w:cs="Arial"/>
        </w:rPr>
        <w:t>Letras minúsculas desiguales en la fila para las medias de las concentraciones difieren para p≤0,05</w:t>
      </w:r>
      <w:r w:rsidRPr="00361B76">
        <w:rPr>
          <w:rFonts w:ascii="Arial" w:eastAsia="Calibri" w:hAnsi="Arial" w:cs="Arial"/>
        </w:rPr>
        <w:t xml:space="preserve"> según prueba de rangos múltiples de </w:t>
      </w:r>
      <w:proofErr w:type="spellStart"/>
      <w:r w:rsidRPr="00361B76">
        <w:rPr>
          <w:rFonts w:ascii="Arial" w:eastAsia="Calibri" w:hAnsi="Arial" w:cs="Arial"/>
        </w:rPr>
        <w:t>Tukey</w:t>
      </w:r>
      <w:proofErr w:type="spellEnd"/>
    </w:p>
    <w:p w:rsidR="001F34CB" w:rsidRPr="00361B76" w:rsidRDefault="001F34CB" w:rsidP="00361B76">
      <w:pPr>
        <w:spacing w:line="360" w:lineRule="auto"/>
        <w:jc w:val="both"/>
        <w:rPr>
          <w:rFonts w:ascii="Arial" w:eastAsia="Calibri" w:hAnsi="Arial" w:cs="Arial"/>
        </w:rPr>
      </w:pPr>
      <w:r w:rsidRPr="00361B76">
        <w:rPr>
          <w:rFonts w:ascii="Arial" w:hAnsi="Arial" w:cs="Arial"/>
        </w:rPr>
        <w:t xml:space="preserve">Letras minúsculas desiguales en la columna para las medias de las cepas difieren para p ≤0,05 </w:t>
      </w:r>
      <w:r w:rsidRPr="00361B76">
        <w:rPr>
          <w:rFonts w:ascii="Arial" w:eastAsia="Calibri" w:hAnsi="Arial" w:cs="Arial"/>
        </w:rPr>
        <w:t xml:space="preserve">según prueba de rangos múltiples de </w:t>
      </w:r>
      <w:proofErr w:type="spellStart"/>
      <w:r w:rsidRPr="00361B76">
        <w:rPr>
          <w:rFonts w:ascii="Arial" w:eastAsia="Calibri" w:hAnsi="Arial" w:cs="Arial"/>
        </w:rPr>
        <w:t>Tukey</w:t>
      </w:r>
      <w:proofErr w:type="spellEnd"/>
    </w:p>
    <w:p w:rsidR="00082BBA" w:rsidRPr="00361B76" w:rsidRDefault="00082BBA" w:rsidP="00361B76">
      <w:pPr>
        <w:spacing w:line="360" w:lineRule="auto"/>
        <w:jc w:val="both"/>
        <w:rPr>
          <w:rStyle w:val="A4"/>
          <w:rFonts w:ascii="Arial" w:hAnsi="Arial" w:cs="Arial"/>
          <w:sz w:val="24"/>
          <w:szCs w:val="24"/>
        </w:rPr>
      </w:pPr>
    </w:p>
    <w:p w:rsidR="00855BF2" w:rsidRPr="00361B76" w:rsidRDefault="00855BF2" w:rsidP="00361B76">
      <w:pPr>
        <w:spacing w:line="360" w:lineRule="auto"/>
        <w:jc w:val="both"/>
        <w:rPr>
          <w:rStyle w:val="A4"/>
          <w:rFonts w:ascii="Arial" w:hAnsi="Arial" w:cs="Arial"/>
          <w:sz w:val="24"/>
          <w:szCs w:val="24"/>
        </w:rPr>
      </w:pPr>
      <w:r w:rsidRPr="00361B76">
        <w:rPr>
          <w:rStyle w:val="A4"/>
          <w:rFonts w:ascii="Arial" w:hAnsi="Arial" w:cs="Arial"/>
          <w:sz w:val="24"/>
          <w:szCs w:val="24"/>
        </w:rPr>
        <w:t xml:space="preserve">Los resultados alcanzados muestran la seguridad al emplear las cepas en estudio como alternativa en el manejo de </w:t>
      </w:r>
      <w:r w:rsidRPr="00361B76">
        <w:rPr>
          <w:rStyle w:val="A4"/>
          <w:rFonts w:ascii="Arial" w:hAnsi="Arial" w:cs="Arial"/>
          <w:i/>
          <w:sz w:val="24"/>
          <w:szCs w:val="24"/>
        </w:rPr>
        <w:t xml:space="preserve">A. </w:t>
      </w:r>
      <w:proofErr w:type="spellStart"/>
      <w:r w:rsidRPr="00361B76">
        <w:rPr>
          <w:rStyle w:val="A4"/>
          <w:rFonts w:ascii="Arial" w:hAnsi="Arial" w:cs="Arial"/>
          <w:i/>
          <w:sz w:val="24"/>
          <w:szCs w:val="24"/>
        </w:rPr>
        <w:t>tumida</w:t>
      </w:r>
      <w:proofErr w:type="spellEnd"/>
      <w:r w:rsidRPr="00361B76">
        <w:rPr>
          <w:rStyle w:val="A4"/>
          <w:rFonts w:ascii="Arial" w:hAnsi="Arial" w:cs="Arial"/>
          <w:sz w:val="24"/>
          <w:szCs w:val="24"/>
        </w:rPr>
        <w:t xml:space="preserve">, ya que no afecta el contenido de humedad </w:t>
      </w:r>
      <w:r w:rsidR="00A807BF" w:rsidRPr="00361B76">
        <w:rPr>
          <w:rStyle w:val="A4"/>
          <w:rFonts w:ascii="Arial" w:hAnsi="Arial" w:cs="Arial"/>
          <w:sz w:val="24"/>
          <w:szCs w:val="24"/>
        </w:rPr>
        <w:t>de las mieles</w:t>
      </w:r>
      <w:r w:rsidRPr="00361B76">
        <w:rPr>
          <w:rStyle w:val="A4"/>
          <w:rFonts w:ascii="Arial" w:hAnsi="Arial" w:cs="Arial"/>
          <w:sz w:val="24"/>
          <w:szCs w:val="24"/>
        </w:rPr>
        <w:t xml:space="preserve">, </w:t>
      </w:r>
      <w:r w:rsidR="009B640D" w:rsidRPr="00361B76">
        <w:rPr>
          <w:rStyle w:val="A4"/>
          <w:rFonts w:ascii="Arial" w:hAnsi="Arial" w:cs="Arial"/>
          <w:sz w:val="24"/>
          <w:szCs w:val="24"/>
        </w:rPr>
        <w:t xml:space="preserve">y corrobora lo planteado por </w:t>
      </w:r>
      <w:proofErr w:type="spellStart"/>
      <w:r w:rsidR="009B640D" w:rsidRPr="00361B76">
        <w:rPr>
          <w:rFonts w:ascii="Arial" w:hAnsi="Arial" w:cs="Arial"/>
        </w:rPr>
        <w:t>Ballateros</w:t>
      </w:r>
      <w:proofErr w:type="spellEnd"/>
      <w:r w:rsidR="009B640D" w:rsidRPr="00361B76">
        <w:rPr>
          <w:rFonts w:ascii="Arial" w:hAnsi="Arial" w:cs="Arial"/>
        </w:rPr>
        <w:t xml:space="preserve"> et al. (2019), quien afirma que </w:t>
      </w:r>
      <w:r w:rsidR="00A807BF" w:rsidRPr="00361B76">
        <w:rPr>
          <w:rStyle w:val="A4"/>
          <w:rFonts w:ascii="Arial" w:hAnsi="Arial" w:cs="Arial"/>
          <w:sz w:val="24"/>
          <w:szCs w:val="24"/>
        </w:rPr>
        <w:t>una de las características más importantes porque determina su grado de conservación. La humedad de la miel puede aumentar durante su extracción y almacenamiento debido a sus propiedades higroscópicas. Este factor debe tomarse en cuenta en el almacenamiento; cuando el producto es almacenado a temperaturas bajas y en un ambiente húmedo, absorbe humedad y se diluye, lo cual provoca su fermentación</w:t>
      </w:r>
      <w:r w:rsidRPr="00361B76">
        <w:rPr>
          <w:rStyle w:val="A4"/>
          <w:rFonts w:ascii="Arial" w:hAnsi="Arial" w:cs="Arial"/>
          <w:sz w:val="24"/>
          <w:szCs w:val="24"/>
        </w:rPr>
        <w:t>.</w:t>
      </w:r>
    </w:p>
    <w:p w:rsidR="00082BBA" w:rsidRPr="00361B76" w:rsidRDefault="00082BBA" w:rsidP="00361B76">
      <w:pPr>
        <w:spacing w:line="360" w:lineRule="auto"/>
        <w:jc w:val="both"/>
        <w:rPr>
          <w:rStyle w:val="A4"/>
          <w:rFonts w:ascii="Arial" w:hAnsi="Arial" w:cs="Arial"/>
          <w:sz w:val="24"/>
          <w:szCs w:val="24"/>
        </w:rPr>
      </w:pPr>
    </w:p>
    <w:p w:rsidR="001F34CB" w:rsidRPr="00361B76" w:rsidRDefault="001F34CB" w:rsidP="00361B76">
      <w:pPr>
        <w:spacing w:line="360" w:lineRule="auto"/>
        <w:jc w:val="both"/>
        <w:rPr>
          <w:rFonts w:ascii="Arial" w:hAnsi="Arial" w:cs="Arial"/>
        </w:rPr>
      </w:pPr>
      <w:r w:rsidRPr="00361B76">
        <w:rPr>
          <w:rFonts w:ascii="Arial" w:hAnsi="Arial" w:cs="Arial"/>
        </w:rPr>
        <w:t xml:space="preserve">La tabla 2 muestra los resultados de la conductividad eléctrica, donde al igual que en la humedad los valores alcanzados se encuentran dentro del rango crítico de comercialización. Se observa además que es el indicador que más responde negativamente a la exposición de los hongos pues de un valor inicial de 0,97mS/cm alcanza como valor más alto 1,98 </w:t>
      </w:r>
      <w:proofErr w:type="spellStart"/>
      <w:r w:rsidRPr="00361B76">
        <w:rPr>
          <w:rFonts w:ascii="Arial" w:hAnsi="Arial" w:cs="Arial"/>
        </w:rPr>
        <w:t>mS</w:t>
      </w:r>
      <w:proofErr w:type="spellEnd"/>
      <w:r w:rsidRPr="00361B76">
        <w:rPr>
          <w:rFonts w:ascii="Arial" w:hAnsi="Arial" w:cs="Arial"/>
        </w:rPr>
        <w:t xml:space="preserve">/cm y mínimo 1,54 </w:t>
      </w:r>
      <w:proofErr w:type="spellStart"/>
      <w:r w:rsidRPr="00361B76">
        <w:rPr>
          <w:rFonts w:ascii="Arial" w:hAnsi="Arial" w:cs="Arial"/>
        </w:rPr>
        <w:t>mS</w:t>
      </w:r>
      <w:proofErr w:type="spellEnd"/>
      <w:r w:rsidRPr="00361B76">
        <w:rPr>
          <w:rFonts w:ascii="Arial" w:hAnsi="Arial" w:cs="Arial"/>
        </w:rPr>
        <w:t>/cm.</w:t>
      </w: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both"/>
        <w:rPr>
          <w:rFonts w:ascii="Arial" w:hAnsi="Arial" w:cs="Arial"/>
        </w:rPr>
      </w:pPr>
      <w:r w:rsidRPr="00361B76">
        <w:rPr>
          <w:rFonts w:ascii="Arial" w:hAnsi="Arial" w:cs="Arial"/>
        </w:rPr>
        <w:t xml:space="preserve">De forma individual la cepa </w:t>
      </w:r>
      <w:r w:rsidRPr="00361B76">
        <w:rPr>
          <w:rFonts w:ascii="Arial" w:hAnsi="Arial" w:cs="Arial"/>
          <w:lang w:val="x-none"/>
        </w:rPr>
        <w:t>OMRI</w:t>
      </w:r>
      <w:r w:rsidRPr="00361B76">
        <w:rPr>
          <w:rFonts w:ascii="Arial" w:hAnsi="Arial" w:cs="Arial"/>
          <w:lang w:val="es-ES"/>
        </w:rPr>
        <w:t>-</w:t>
      </w:r>
      <w:r w:rsidRPr="00361B76">
        <w:rPr>
          <w:rFonts w:ascii="Arial" w:hAnsi="Arial" w:cs="Arial"/>
          <w:lang w:val="x-none"/>
        </w:rPr>
        <w:t>listeo®</w:t>
      </w:r>
      <w:r w:rsidRPr="00361B76">
        <w:rPr>
          <w:rFonts w:ascii="Arial" w:hAnsi="Arial" w:cs="Arial"/>
          <w:lang w:val="es-ES"/>
        </w:rPr>
        <w:t xml:space="preserve"> es la que alcanza los valores más bajos de 1,69 </w:t>
      </w:r>
      <w:proofErr w:type="spellStart"/>
      <w:r w:rsidRPr="00361B76">
        <w:rPr>
          <w:rFonts w:ascii="Arial" w:hAnsi="Arial" w:cs="Arial"/>
        </w:rPr>
        <w:t>mS</w:t>
      </w:r>
      <w:proofErr w:type="spellEnd"/>
      <w:r w:rsidRPr="00361B76">
        <w:rPr>
          <w:rFonts w:ascii="Arial" w:hAnsi="Arial" w:cs="Arial"/>
        </w:rPr>
        <w:t>/cm</w:t>
      </w:r>
      <w:r w:rsidRPr="00361B76">
        <w:rPr>
          <w:rFonts w:ascii="Arial" w:hAnsi="Arial" w:cs="Arial"/>
          <w:lang w:val="es-ES"/>
        </w:rPr>
        <w:t xml:space="preserve"> con diferencia significativa a la LBb-111 con 1,93</w:t>
      </w:r>
      <w:r w:rsidRPr="00361B76">
        <w:rPr>
          <w:rFonts w:ascii="Arial" w:hAnsi="Arial" w:cs="Arial"/>
        </w:rPr>
        <w:t xml:space="preserve"> </w:t>
      </w:r>
      <w:proofErr w:type="spellStart"/>
      <w:r w:rsidRPr="00361B76">
        <w:rPr>
          <w:rFonts w:ascii="Arial" w:hAnsi="Arial" w:cs="Arial"/>
        </w:rPr>
        <w:t>mS</w:t>
      </w:r>
      <w:proofErr w:type="spellEnd"/>
      <w:r w:rsidRPr="00361B76">
        <w:rPr>
          <w:rFonts w:ascii="Arial" w:hAnsi="Arial" w:cs="Arial"/>
        </w:rPr>
        <w:t>/cm. En el caso de las concentraciones 2,36x10</w:t>
      </w:r>
      <w:r w:rsidRPr="00361B76">
        <w:rPr>
          <w:rFonts w:ascii="Arial" w:hAnsi="Arial" w:cs="Arial"/>
          <w:vertAlign w:val="superscript"/>
        </w:rPr>
        <w:t>5</w:t>
      </w:r>
      <w:r w:rsidRPr="00361B76">
        <w:rPr>
          <w:rFonts w:ascii="Arial" w:hAnsi="Arial" w:cs="Arial"/>
        </w:rPr>
        <w:t xml:space="preserve"> difiere estadísticamente del resto y en el análisis de la </w:t>
      </w:r>
      <w:r w:rsidRPr="00361B76">
        <w:rPr>
          <w:rFonts w:ascii="Arial" w:hAnsi="Arial" w:cs="Arial"/>
        </w:rPr>
        <w:lastRenderedPageBreak/>
        <w:t xml:space="preserve">interacción factorial entre las medias de las concentraciones y las cepas la </w:t>
      </w:r>
      <w:r w:rsidRPr="00361B76">
        <w:rPr>
          <w:rFonts w:ascii="Arial" w:hAnsi="Arial" w:cs="Arial"/>
          <w:lang w:val="x-none"/>
        </w:rPr>
        <w:t>OMRI</w:t>
      </w:r>
      <w:r w:rsidRPr="00361B76">
        <w:rPr>
          <w:rFonts w:ascii="Arial" w:hAnsi="Arial" w:cs="Arial"/>
          <w:lang w:val="es-ES"/>
        </w:rPr>
        <w:t>-</w:t>
      </w:r>
      <w:r w:rsidRPr="00361B76">
        <w:rPr>
          <w:rFonts w:ascii="Arial" w:hAnsi="Arial" w:cs="Arial"/>
          <w:lang w:val="x-none"/>
        </w:rPr>
        <w:t>listeo®</w:t>
      </w:r>
      <w:r w:rsidRPr="00361B76">
        <w:rPr>
          <w:rFonts w:ascii="Arial" w:hAnsi="Arial" w:cs="Arial"/>
          <w:lang w:val="es-ES"/>
        </w:rPr>
        <w:t xml:space="preserve"> con </w:t>
      </w:r>
      <w:r w:rsidRPr="00361B76">
        <w:rPr>
          <w:rFonts w:ascii="Arial" w:hAnsi="Arial" w:cs="Arial"/>
        </w:rPr>
        <w:t>2,36x10</w:t>
      </w:r>
      <w:r w:rsidRPr="00361B76">
        <w:rPr>
          <w:rFonts w:ascii="Arial" w:hAnsi="Arial" w:cs="Arial"/>
          <w:vertAlign w:val="superscript"/>
        </w:rPr>
        <w:t xml:space="preserve">5 </w:t>
      </w:r>
      <w:r w:rsidRPr="00361B76">
        <w:rPr>
          <w:rFonts w:ascii="Arial" w:hAnsi="Arial" w:cs="Arial"/>
        </w:rPr>
        <w:t>obtiene el mejor resultado.</w:t>
      </w:r>
    </w:p>
    <w:p w:rsidR="001F34CB" w:rsidRPr="00361B76" w:rsidRDefault="001F34CB" w:rsidP="00361B76">
      <w:pPr>
        <w:spacing w:line="360" w:lineRule="auto"/>
        <w:jc w:val="center"/>
        <w:rPr>
          <w:rFonts w:ascii="Arial" w:hAnsi="Arial" w:cs="Arial"/>
        </w:rPr>
      </w:pPr>
    </w:p>
    <w:p w:rsidR="001F34CB" w:rsidRPr="00361B76" w:rsidRDefault="001F34CB" w:rsidP="00361B76">
      <w:pPr>
        <w:spacing w:line="360" w:lineRule="auto"/>
        <w:jc w:val="center"/>
        <w:rPr>
          <w:rFonts w:ascii="Arial" w:hAnsi="Arial" w:cs="Arial"/>
          <w:lang w:val="es-US"/>
        </w:rPr>
      </w:pPr>
      <w:r w:rsidRPr="00361B76">
        <w:rPr>
          <w:rFonts w:ascii="Arial" w:hAnsi="Arial" w:cs="Arial"/>
          <w:lang w:val="x-none"/>
        </w:rPr>
        <w:t xml:space="preserve">Tabla </w:t>
      </w:r>
      <w:r w:rsidRPr="00361B76">
        <w:rPr>
          <w:rFonts w:ascii="Arial" w:hAnsi="Arial" w:cs="Arial"/>
          <w:lang w:val="es-ES"/>
        </w:rPr>
        <w:t>2</w:t>
      </w:r>
      <w:r w:rsidRPr="00361B76">
        <w:rPr>
          <w:rFonts w:ascii="Arial" w:hAnsi="Arial" w:cs="Arial"/>
          <w:lang w:val="x-none"/>
        </w:rPr>
        <w:t xml:space="preserve">. Conductividad eléctrica a los </w:t>
      </w:r>
      <w:r w:rsidRPr="00361B76">
        <w:rPr>
          <w:rFonts w:ascii="Arial" w:hAnsi="Arial" w:cs="Arial"/>
          <w:lang w:val="es-ES"/>
        </w:rPr>
        <w:t>cinco</w:t>
      </w:r>
      <w:r w:rsidRPr="00361B76">
        <w:rPr>
          <w:rFonts w:ascii="Arial" w:hAnsi="Arial" w:cs="Arial"/>
          <w:lang w:val="x-none"/>
        </w:rPr>
        <w:t xml:space="preserve"> días, Rango crítico 0,8-2,1 </w:t>
      </w:r>
      <w:proofErr w:type="spellStart"/>
      <w:r w:rsidRPr="00361B76">
        <w:rPr>
          <w:rFonts w:ascii="Arial" w:hAnsi="Arial" w:cs="Arial"/>
          <w:lang w:val="es-US"/>
        </w:rPr>
        <w:t>mS</w:t>
      </w:r>
      <w:proofErr w:type="spellEnd"/>
      <w:r w:rsidRPr="00361B76">
        <w:rPr>
          <w:rFonts w:ascii="Arial" w:hAnsi="Arial" w:cs="Arial"/>
          <w:lang w:val="es-US"/>
        </w:rPr>
        <w:t>/cm</w:t>
      </w:r>
    </w:p>
    <w:tbl>
      <w:tblPr>
        <w:tblW w:w="8131" w:type="dxa"/>
        <w:jc w:val="center"/>
        <w:tblCellMar>
          <w:left w:w="0" w:type="dxa"/>
          <w:right w:w="0" w:type="dxa"/>
        </w:tblCellMar>
        <w:tblLook w:val="04A0" w:firstRow="1" w:lastRow="0" w:firstColumn="1" w:lastColumn="0" w:noHBand="0" w:noVBand="1"/>
      </w:tblPr>
      <w:tblGrid>
        <w:gridCol w:w="1764"/>
        <w:gridCol w:w="1160"/>
        <w:gridCol w:w="1160"/>
        <w:gridCol w:w="1160"/>
        <w:gridCol w:w="1160"/>
        <w:gridCol w:w="910"/>
        <w:gridCol w:w="817"/>
      </w:tblGrid>
      <w:tr w:rsidR="001F34CB" w:rsidRPr="00361B76" w:rsidTr="006C0AE7">
        <w:trPr>
          <w:trHeight w:val="296"/>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proofErr w:type="spellStart"/>
            <w:r w:rsidRPr="00361B76">
              <w:rPr>
                <w:rFonts w:ascii="Arial" w:hAnsi="Arial" w:cs="Arial"/>
                <w:lang w:val="en-US"/>
              </w:rPr>
              <w:t>Concentración</w:t>
            </w:r>
            <w:proofErr w:type="spellEnd"/>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vertAlign w:val="superscript"/>
                <w:lang w:val="es-US"/>
              </w:rPr>
            </w:pPr>
            <w:r w:rsidRPr="00361B76">
              <w:rPr>
                <w:rFonts w:ascii="Arial" w:hAnsi="Arial" w:cs="Arial"/>
              </w:rPr>
              <w:t>2,36x10</w:t>
            </w:r>
            <w:r w:rsidRPr="00361B76">
              <w:rPr>
                <w:rFonts w:ascii="Arial" w:hAnsi="Arial" w:cs="Arial"/>
                <w:vertAlign w:val="superscript"/>
              </w:rPr>
              <w:t>5</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rPr>
              <w:t>2,36x10</w:t>
            </w:r>
            <w:r w:rsidRPr="00361B76">
              <w:rPr>
                <w:rFonts w:ascii="Arial" w:hAnsi="Arial" w:cs="Arial"/>
                <w:vertAlign w:val="superscript"/>
                <w:lang w:val="en-US"/>
              </w:rPr>
              <w:t>6</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rPr>
              <w:t>2,36x10</w:t>
            </w:r>
            <w:r w:rsidRPr="00361B76">
              <w:rPr>
                <w:rFonts w:ascii="Arial" w:hAnsi="Arial" w:cs="Arial"/>
                <w:vertAlign w:val="superscript"/>
                <w:lang w:val="en-US"/>
              </w:rPr>
              <w:t>7</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rPr>
              <w:t>2,36x10</w:t>
            </w:r>
            <w:r w:rsidRPr="00361B76">
              <w:rPr>
                <w:rFonts w:ascii="Arial" w:hAnsi="Arial" w:cs="Arial"/>
                <w:vertAlign w:val="superscript"/>
                <w:lang w:val="en-US"/>
              </w:rPr>
              <w:t>8</w:t>
            </w:r>
          </w:p>
        </w:tc>
        <w:tc>
          <w:tcPr>
            <w:tcW w:w="9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8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r>
      <w:tr w:rsidR="001F34CB" w:rsidRPr="00361B76" w:rsidTr="006C0AE7">
        <w:trPr>
          <w:trHeight w:val="592"/>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proofErr w:type="spellStart"/>
            <w:r w:rsidRPr="00361B76">
              <w:rPr>
                <w:rFonts w:ascii="Arial" w:hAnsi="Arial" w:cs="Arial"/>
                <w:lang w:val="en-US"/>
              </w:rPr>
              <w:t>Cepas</w:t>
            </w:r>
            <w:proofErr w:type="spellEnd"/>
          </w:p>
        </w:tc>
        <w:tc>
          <w:tcPr>
            <w:tcW w:w="4640" w:type="dxa"/>
            <w:gridSpan w:val="4"/>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9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xml:space="preserve">Media  </w:t>
            </w:r>
            <w:proofErr w:type="spellStart"/>
            <w:r w:rsidRPr="00361B76">
              <w:rPr>
                <w:rFonts w:ascii="Arial" w:hAnsi="Arial" w:cs="Arial"/>
                <w:lang w:val="en-US"/>
              </w:rPr>
              <w:t>Cepas</w:t>
            </w:r>
            <w:proofErr w:type="spellEnd"/>
          </w:p>
        </w:tc>
        <w:tc>
          <w:tcPr>
            <w:tcW w:w="8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EE (±)</w:t>
            </w:r>
          </w:p>
        </w:tc>
      </w:tr>
      <w:tr w:rsidR="001F34CB" w:rsidRPr="00361B76" w:rsidTr="006C0AE7">
        <w:trPr>
          <w:trHeight w:val="296"/>
          <w:jc w:val="center"/>
        </w:trPr>
        <w:tc>
          <w:tcPr>
            <w:tcW w:w="1764"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x-none"/>
              </w:rPr>
              <w:t>OMRI</w:t>
            </w:r>
            <w:r w:rsidRPr="00361B76">
              <w:rPr>
                <w:rFonts w:ascii="Arial" w:hAnsi="Arial" w:cs="Arial"/>
                <w:lang w:val="es-ES"/>
              </w:rPr>
              <w:t>-</w:t>
            </w:r>
            <w:r w:rsidRPr="00361B76">
              <w:rPr>
                <w:rFonts w:ascii="Arial" w:hAnsi="Arial" w:cs="Arial"/>
                <w:lang w:val="x-none"/>
              </w:rPr>
              <w:t>listeo®</w:t>
            </w:r>
          </w:p>
        </w:tc>
        <w:tc>
          <w:tcPr>
            <w:tcW w:w="11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1,54 A</w:t>
            </w:r>
          </w:p>
        </w:tc>
        <w:tc>
          <w:tcPr>
            <w:tcW w:w="11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1,74 B</w:t>
            </w:r>
          </w:p>
        </w:tc>
        <w:tc>
          <w:tcPr>
            <w:tcW w:w="11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1,74 B</w:t>
            </w:r>
          </w:p>
        </w:tc>
        <w:tc>
          <w:tcPr>
            <w:tcW w:w="11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1,75 B</w:t>
            </w:r>
          </w:p>
        </w:tc>
        <w:tc>
          <w:tcPr>
            <w:tcW w:w="91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1,69 a</w:t>
            </w:r>
          </w:p>
        </w:tc>
        <w:tc>
          <w:tcPr>
            <w:tcW w:w="817"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r>
      <w:tr w:rsidR="001F34CB" w:rsidRPr="00361B76" w:rsidTr="006C0AE7">
        <w:trPr>
          <w:trHeight w:val="296"/>
          <w:jc w:val="center"/>
        </w:trPr>
        <w:tc>
          <w:tcPr>
            <w:tcW w:w="176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proofErr w:type="spellStart"/>
            <w:r w:rsidRPr="00361B76">
              <w:rPr>
                <w:rFonts w:ascii="Arial" w:hAnsi="Arial" w:cs="Arial"/>
                <w:lang w:val="en-US"/>
              </w:rPr>
              <w:t>LBb</w:t>
            </w:r>
            <w:proofErr w:type="spellEnd"/>
            <w:r w:rsidRPr="00361B76">
              <w:rPr>
                <w:rFonts w:ascii="Arial" w:hAnsi="Arial" w:cs="Arial"/>
                <w:lang w:val="en-US"/>
              </w:rPr>
              <w:t xml:space="preserve"> 111</w:t>
            </w:r>
          </w:p>
        </w:tc>
        <w:tc>
          <w:tcPr>
            <w:tcW w:w="116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1,82 BC</w:t>
            </w:r>
          </w:p>
        </w:tc>
        <w:tc>
          <w:tcPr>
            <w:tcW w:w="116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1,96 C</w:t>
            </w:r>
          </w:p>
        </w:tc>
        <w:tc>
          <w:tcPr>
            <w:tcW w:w="116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1,98 C</w:t>
            </w:r>
          </w:p>
        </w:tc>
        <w:tc>
          <w:tcPr>
            <w:tcW w:w="116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1,98 C</w:t>
            </w:r>
          </w:p>
        </w:tc>
        <w:tc>
          <w:tcPr>
            <w:tcW w:w="91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1,93 b</w:t>
            </w:r>
          </w:p>
        </w:tc>
        <w:tc>
          <w:tcPr>
            <w:tcW w:w="817"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r>
      <w:tr w:rsidR="001F34CB" w:rsidRPr="00361B76" w:rsidTr="006C0AE7">
        <w:trPr>
          <w:trHeight w:val="592"/>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xml:space="preserve">Media  </w:t>
            </w:r>
            <w:proofErr w:type="spellStart"/>
            <w:r w:rsidRPr="00361B76">
              <w:rPr>
                <w:rFonts w:ascii="Arial" w:hAnsi="Arial" w:cs="Arial"/>
                <w:lang w:val="en-US"/>
              </w:rPr>
              <w:t>Concentración</w:t>
            </w:r>
            <w:proofErr w:type="spellEnd"/>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1,68 a</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1,85 b</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1,86 b</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1,86 b</w:t>
            </w:r>
          </w:p>
        </w:tc>
        <w:tc>
          <w:tcPr>
            <w:tcW w:w="9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xml:space="preserve">1,81 </w:t>
            </w:r>
          </w:p>
        </w:tc>
        <w:tc>
          <w:tcPr>
            <w:tcW w:w="8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0,001</w:t>
            </w:r>
          </w:p>
        </w:tc>
      </w:tr>
      <w:tr w:rsidR="001F34CB" w:rsidRPr="00361B76" w:rsidTr="006C0AE7">
        <w:trPr>
          <w:trHeight w:val="296"/>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EE (±)</w:t>
            </w:r>
          </w:p>
        </w:tc>
        <w:tc>
          <w:tcPr>
            <w:tcW w:w="4640" w:type="dxa"/>
            <w:gridSpan w:val="4"/>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0,048</w:t>
            </w:r>
          </w:p>
        </w:tc>
        <w:tc>
          <w:tcPr>
            <w:tcW w:w="9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0,013</w:t>
            </w:r>
          </w:p>
        </w:tc>
        <w:tc>
          <w:tcPr>
            <w:tcW w:w="8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r>
      <w:tr w:rsidR="001F34CB" w:rsidRPr="00361B76" w:rsidTr="006C0AE7">
        <w:trPr>
          <w:trHeight w:val="296"/>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CV (%)</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91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8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2,97</w:t>
            </w:r>
          </w:p>
        </w:tc>
      </w:tr>
    </w:tbl>
    <w:p w:rsidR="001F34CB" w:rsidRPr="00361B76" w:rsidRDefault="001F34CB" w:rsidP="00361B76">
      <w:pPr>
        <w:spacing w:line="360" w:lineRule="auto"/>
        <w:jc w:val="both"/>
        <w:rPr>
          <w:rFonts w:ascii="Arial" w:eastAsia="Calibri" w:hAnsi="Arial" w:cs="Arial"/>
        </w:rPr>
      </w:pPr>
      <w:r w:rsidRPr="00361B76">
        <w:rPr>
          <w:rFonts w:ascii="Arial" w:hAnsi="Arial" w:cs="Arial"/>
        </w:rPr>
        <w:t>Letras mayúsculas desiguales para las medias de las interacciones difieren para p ≤0,05</w:t>
      </w:r>
      <w:r w:rsidRPr="00361B76">
        <w:rPr>
          <w:rFonts w:ascii="Arial" w:eastAsia="Calibri" w:hAnsi="Arial" w:cs="Arial"/>
        </w:rPr>
        <w:t xml:space="preserve"> según prueba de rangos múltiples de </w:t>
      </w:r>
      <w:proofErr w:type="spellStart"/>
      <w:r w:rsidRPr="00361B76">
        <w:rPr>
          <w:rFonts w:ascii="Arial" w:eastAsia="Calibri" w:hAnsi="Arial" w:cs="Arial"/>
        </w:rPr>
        <w:t>Tukey</w:t>
      </w:r>
      <w:proofErr w:type="spellEnd"/>
    </w:p>
    <w:p w:rsidR="001F34CB" w:rsidRPr="00361B76" w:rsidRDefault="001F34CB" w:rsidP="00361B76">
      <w:pPr>
        <w:spacing w:line="360" w:lineRule="auto"/>
        <w:jc w:val="both"/>
        <w:rPr>
          <w:rFonts w:ascii="Arial" w:hAnsi="Arial" w:cs="Arial"/>
        </w:rPr>
      </w:pPr>
      <w:r w:rsidRPr="00361B76">
        <w:rPr>
          <w:rFonts w:ascii="Arial" w:hAnsi="Arial" w:cs="Arial"/>
        </w:rPr>
        <w:t>Letras minúsculas desiguales en la fila para las medias de las concentraciones difieren para p≤0,05</w:t>
      </w:r>
      <w:r w:rsidRPr="00361B76">
        <w:rPr>
          <w:rFonts w:ascii="Arial" w:eastAsia="Calibri" w:hAnsi="Arial" w:cs="Arial"/>
        </w:rPr>
        <w:t xml:space="preserve"> según prueba de rangos múltiples de </w:t>
      </w:r>
      <w:proofErr w:type="spellStart"/>
      <w:r w:rsidRPr="00361B76">
        <w:rPr>
          <w:rFonts w:ascii="Arial" w:eastAsia="Calibri" w:hAnsi="Arial" w:cs="Arial"/>
        </w:rPr>
        <w:t>Tukey</w:t>
      </w:r>
      <w:proofErr w:type="spellEnd"/>
    </w:p>
    <w:p w:rsidR="001F34CB" w:rsidRPr="00361B76" w:rsidRDefault="001F34CB" w:rsidP="00361B76">
      <w:pPr>
        <w:spacing w:line="360" w:lineRule="auto"/>
        <w:jc w:val="both"/>
        <w:rPr>
          <w:rFonts w:ascii="Arial" w:eastAsia="Calibri" w:hAnsi="Arial" w:cs="Arial"/>
        </w:rPr>
      </w:pPr>
      <w:r w:rsidRPr="00361B76">
        <w:rPr>
          <w:rFonts w:ascii="Arial" w:hAnsi="Arial" w:cs="Arial"/>
        </w:rPr>
        <w:t xml:space="preserve">Letras minúsculas desiguales en la columna para las medias de las cepas difieren para p ≤0,05 </w:t>
      </w:r>
      <w:r w:rsidRPr="00361B76">
        <w:rPr>
          <w:rFonts w:ascii="Arial" w:eastAsia="Calibri" w:hAnsi="Arial" w:cs="Arial"/>
        </w:rPr>
        <w:t xml:space="preserve">según prueba de rangos múltiples de </w:t>
      </w:r>
      <w:proofErr w:type="spellStart"/>
      <w:r w:rsidRPr="00361B76">
        <w:rPr>
          <w:rFonts w:ascii="Arial" w:eastAsia="Calibri" w:hAnsi="Arial" w:cs="Arial"/>
        </w:rPr>
        <w:t>Tukey</w:t>
      </w:r>
      <w:proofErr w:type="spellEnd"/>
    </w:p>
    <w:p w:rsidR="001F34CB" w:rsidRPr="00361B76" w:rsidRDefault="001F34CB" w:rsidP="00361B76">
      <w:pPr>
        <w:spacing w:line="360" w:lineRule="auto"/>
        <w:rPr>
          <w:rFonts w:ascii="Arial" w:hAnsi="Arial" w:cs="Arial"/>
        </w:rPr>
      </w:pPr>
    </w:p>
    <w:p w:rsidR="001F34CB" w:rsidRPr="00361B76" w:rsidRDefault="001F34CB" w:rsidP="00361B76">
      <w:pPr>
        <w:spacing w:line="360" w:lineRule="auto"/>
        <w:jc w:val="both"/>
        <w:rPr>
          <w:rFonts w:ascii="Arial" w:hAnsi="Arial" w:cs="Arial"/>
          <w:lang w:val="es-ES"/>
        </w:rPr>
      </w:pPr>
      <w:r w:rsidRPr="00361B76">
        <w:rPr>
          <w:rFonts w:ascii="Arial" w:hAnsi="Arial" w:cs="Arial"/>
        </w:rPr>
        <w:t xml:space="preserve">Los resultados que se muestran en la tabla 3 sobre los contenidos de ceniza en las muestras analizadas hubo variación de los valores en comparación con la muestra inicial antes de la contaminación con los entomopatógenos. Se muestra en la tabla que la cepa </w:t>
      </w:r>
      <w:r w:rsidRPr="00361B76">
        <w:rPr>
          <w:rFonts w:ascii="Arial" w:hAnsi="Arial" w:cs="Arial"/>
          <w:lang w:val="x-none"/>
        </w:rPr>
        <w:t>OMRI</w:t>
      </w:r>
      <w:r w:rsidRPr="00361B76">
        <w:rPr>
          <w:rFonts w:ascii="Arial" w:hAnsi="Arial" w:cs="Arial"/>
          <w:lang w:val="es-ES"/>
        </w:rPr>
        <w:t>-</w:t>
      </w:r>
      <w:r w:rsidRPr="00361B76">
        <w:rPr>
          <w:rFonts w:ascii="Arial" w:hAnsi="Arial" w:cs="Arial"/>
          <w:lang w:val="x-none"/>
        </w:rPr>
        <w:t>listeo®</w:t>
      </w:r>
      <w:r w:rsidRPr="00361B76">
        <w:rPr>
          <w:rFonts w:ascii="Arial" w:hAnsi="Arial" w:cs="Arial"/>
          <w:lang w:val="es-ES"/>
        </w:rPr>
        <w:t xml:space="preserve"> alcanzó los valores más bajos con diferencia estadista de la </w:t>
      </w:r>
      <w:proofErr w:type="spellStart"/>
      <w:r w:rsidRPr="00361B76">
        <w:rPr>
          <w:rFonts w:ascii="Arial" w:hAnsi="Arial" w:cs="Arial"/>
          <w:lang w:val="es-ES"/>
        </w:rPr>
        <w:t>cpe</w:t>
      </w:r>
      <w:proofErr w:type="spellEnd"/>
      <w:r w:rsidRPr="00361B76">
        <w:rPr>
          <w:rFonts w:ascii="Arial" w:hAnsi="Arial" w:cs="Arial"/>
          <w:lang w:val="es-ES"/>
        </w:rPr>
        <w:t xml:space="preserve"> LBb-111. Se observa además que las concentraciones </w:t>
      </w:r>
      <w:r w:rsidRPr="00361B76">
        <w:rPr>
          <w:rFonts w:ascii="Arial" w:hAnsi="Arial" w:cs="Arial"/>
        </w:rPr>
        <w:t>2,36x10</w:t>
      </w:r>
      <w:r w:rsidRPr="00361B76">
        <w:rPr>
          <w:rFonts w:ascii="Arial" w:hAnsi="Arial" w:cs="Arial"/>
          <w:vertAlign w:val="superscript"/>
        </w:rPr>
        <w:t xml:space="preserve">5 </w:t>
      </w:r>
      <w:r w:rsidRPr="00361B76">
        <w:rPr>
          <w:rFonts w:ascii="Arial" w:hAnsi="Arial" w:cs="Arial"/>
        </w:rPr>
        <w:t>y 2,36x10</w:t>
      </w:r>
      <w:r w:rsidRPr="00361B76">
        <w:rPr>
          <w:rFonts w:ascii="Arial" w:hAnsi="Arial" w:cs="Arial"/>
          <w:vertAlign w:val="superscript"/>
        </w:rPr>
        <w:t>6</w:t>
      </w:r>
      <w:r w:rsidRPr="00361B76">
        <w:rPr>
          <w:rFonts w:ascii="Arial" w:hAnsi="Arial" w:cs="Arial"/>
        </w:rPr>
        <w:t xml:space="preserve"> de ambas cepas obtienen los mejores resultados con diferencia significativa al resto de las concentraciones. En la interacción de las medias de las cepas y las concentraciones el mejor resultados se alcanza con la cepa </w:t>
      </w:r>
      <w:r w:rsidRPr="00361B76">
        <w:rPr>
          <w:rFonts w:ascii="Arial" w:hAnsi="Arial" w:cs="Arial"/>
          <w:lang w:val="x-none"/>
        </w:rPr>
        <w:t>OMRI</w:t>
      </w:r>
      <w:r w:rsidRPr="00361B76">
        <w:rPr>
          <w:rFonts w:ascii="Arial" w:hAnsi="Arial" w:cs="Arial"/>
          <w:lang w:val="es-ES"/>
        </w:rPr>
        <w:t>-</w:t>
      </w:r>
      <w:r w:rsidRPr="00361B76">
        <w:rPr>
          <w:rFonts w:ascii="Arial" w:hAnsi="Arial" w:cs="Arial"/>
          <w:lang w:val="x-none"/>
        </w:rPr>
        <w:t>listeo®</w:t>
      </w:r>
      <w:r w:rsidRPr="00361B76">
        <w:rPr>
          <w:rFonts w:ascii="Arial" w:hAnsi="Arial" w:cs="Arial"/>
          <w:lang w:val="es-ES"/>
        </w:rPr>
        <w:t xml:space="preserve"> y las concentraciones </w:t>
      </w:r>
      <w:r w:rsidRPr="00361B76">
        <w:rPr>
          <w:rFonts w:ascii="Arial" w:hAnsi="Arial" w:cs="Arial"/>
        </w:rPr>
        <w:t>2,36x10</w:t>
      </w:r>
      <w:r w:rsidRPr="00361B76">
        <w:rPr>
          <w:rFonts w:ascii="Arial" w:hAnsi="Arial" w:cs="Arial"/>
          <w:vertAlign w:val="superscript"/>
        </w:rPr>
        <w:t xml:space="preserve">5 </w:t>
      </w:r>
      <w:r w:rsidRPr="00361B76">
        <w:rPr>
          <w:rFonts w:ascii="Arial" w:hAnsi="Arial" w:cs="Arial"/>
        </w:rPr>
        <w:t>y 2,36x10</w:t>
      </w:r>
      <w:r w:rsidRPr="00361B76">
        <w:rPr>
          <w:rFonts w:ascii="Arial" w:hAnsi="Arial" w:cs="Arial"/>
          <w:vertAlign w:val="superscript"/>
        </w:rPr>
        <w:t xml:space="preserve">6 </w:t>
      </w:r>
      <w:r w:rsidRPr="00361B76">
        <w:rPr>
          <w:rFonts w:ascii="Arial" w:hAnsi="Arial" w:cs="Arial"/>
        </w:rPr>
        <w:t>de 0,132 y 0,142 respectivamente.</w:t>
      </w:r>
    </w:p>
    <w:p w:rsidR="001F34CB" w:rsidRPr="00361B76" w:rsidRDefault="001F34CB" w:rsidP="00361B76">
      <w:pPr>
        <w:spacing w:line="360" w:lineRule="auto"/>
        <w:rPr>
          <w:rFonts w:ascii="Arial" w:hAnsi="Arial" w:cs="Arial"/>
        </w:rPr>
      </w:pPr>
    </w:p>
    <w:p w:rsidR="001F34CB" w:rsidRPr="00361B76" w:rsidRDefault="001F34CB" w:rsidP="00361B76">
      <w:pPr>
        <w:spacing w:line="360" w:lineRule="auto"/>
        <w:jc w:val="center"/>
        <w:rPr>
          <w:rFonts w:ascii="Arial" w:hAnsi="Arial" w:cs="Arial"/>
          <w:lang w:val="es-US"/>
        </w:rPr>
      </w:pPr>
      <w:r w:rsidRPr="00361B76">
        <w:rPr>
          <w:rFonts w:ascii="Arial" w:hAnsi="Arial" w:cs="Arial"/>
          <w:lang w:val="x-none"/>
        </w:rPr>
        <w:t xml:space="preserve">Tabla </w:t>
      </w:r>
      <w:r w:rsidRPr="00361B76">
        <w:rPr>
          <w:rFonts w:ascii="Arial" w:hAnsi="Arial" w:cs="Arial"/>
          <w:lang w:val="es-ES"/>
        </w:rPr>
        <w:t>3</w:t>
      </w:r>
      <w:r w:rsidRPr="00361B76">
        <w:rPr>
          <w:rFonts w:ascii="Arial" w:hAnsi="Arial" w:cs="Arial"/>
          <w:lang w:val="x-none"/>
        </w:rPr>
        <w:t xml:space="preserve">. Contenido de cenizas a los </w:t>
      </w:r>
      <w:r w:rsidRPr="00361B76">
        <w:rPr>
          <w:rFonts w:ascii="Arial" w:hAnsi="Arial" w:cs="Arial"/>
          <w:lang w:val="es-ES"/>
        </w:rPr>
        <w:t>cinco</w:t>
      </w:r>
      <w:r w:rsidRPr="00361B76">
        <w:rPr>
          <w:rFonts w:ascii="Arial" w:hAnsi="Arial" w:cs="Arial"/>
          <w:lang w:val="x-none"/>
        </w:rPr>
        <w:t xml:space="preserve"> días</w:t>
      </w:r>
      <w:r w:rsidRPr="00361B76">
        <w:rPr>
          <w:rFonts w:ascii="Arial" w:hAnsi="Arial" w:cs="Arial"/>
          <w:lang w:val="es-ES"/>
        </w:rPr>
        <w:t xml:space="preserve">, </w:t>
      </w:r>
      <w:r w:rsidRPr="00361B76">
        <w:rPr>
          <w:rFonts w:ascii="Arial" w:hAnsi="Arial" w:cs="Arial"/>
          <w:lang w:val="x-none"/>
        </w:rPr>
        <w:t>Rango crítico 0,143-0,174 ppm</w:t>
      </w:r>
    </w:p>
    <w:tbl>
      <w:tblPr>
        <w:tblpPr w:leftFromText="141" w:rightFromText="141" w:vertAnchor="text" w:horzAnchor="margin" w:tblpXSpec="center" w:tblpY="66"/>
        <w:tblW w:w="9158" w:type="dxa"/>
        <w:tblLayout w:type="fixed"/>
        <w:tblCellMar>
          <w:left w:w="0" w:type="dxa"/>
          <w:right w:w="0" w:type="dxa"/>
        </w:tblCellMar>
        <w:tblLook w:val="04A0" w:firstRow="1" w:lastRow="0" w:firstColumn="1" w:lastColumn="0" w:noHBand="0" w:noVBand="1"/>
      </w:tblPr>
      <w:tblGrid>
        <w:gridCol w:w="2273"/>
        <w:gridCol w:w="1160"/>
        <w:gridCol w:w="1160"/>
        <w:gridCol w:w="1257"/>
        <w:gridCol w:w="1170"/>
        <w:gridCol w:w="1060"/>
        <w:gridCol w:w="1078"/>
      </w:tblGrid>
      <w:tr w:rsidR="001F34CB" w:rsidRPr="00361B76" w:rsidTr="006C0AE7">
        <w:trPr>
          <w:trHeight w:val="150"/>
        </w:trPr>
        <w:tc>
          <w:tcPr>
            <w:tcW w:w="22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proofErr w:type="spellStart"/>
            <w:r w:rsidRPr="00361B76">
              <w:rPr>
                <w:rFonts w:ascii="Arial" w:hAnsi="Arial" w:cs="Arial"/>
                <w:lang w:val="en-US"/>
              </w:rPr>
              <w:lastRenderedPageBreak/>
              <w:t>Concentración</w:t>
            </w:r>
            <w:proofErr w:type="spellEnd"/>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vertAlign w:val="superscript"/>
                <w:lang w:val="es-US"/>
              </w:rPr>
            </w:pPr>
            <w:r w:rsidRPr="00361B76">
              <w:rPr>
                <w:rFonts w:ascii="Arial" w:hAnsi="Arial" w:cs="Arial"/>
              </w:rPr>
              <w:t>2,36x10</w:t>
            </w:r>
            <w:r w:rsidRPr="00361B76">
              <w:rPr>
                <w:rFonts w:ascii="Arial" w:hAnsi="Arial" w:cs="Arial"/>
                <w:vertAlign w:val="superscript"/>
              </w:rPr>
              <w:t>5</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rPr>
              <w:t>2,36x10</w:t>
            </w:r>
            <w:r w:rsidRPr="00361B76">
              <w:rPr>
                <w:rFonts w:ascii="Arial" w:hAnsi="Arial" w:cs="Arial"/>
                <w:vertAlign w:val="superscript"/>
                <w:lang w:val="en-US"/>
              </w:rPr>
              <w:t>6</w:t>
            </w:r>
          </w:p>
        </w:tc>
        <w:tc>
          <w:tcPr>
            <w:tcW w:w="125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rPr>
              <w:t>2,36x10</w:t>
            </w:r>
            <w:r w:rsidRPr="00361B76">
              <w:rPr>
                <w:rFonts w:ascii="Arial" w:hAnsi="Arial" w:cs="Arial"/>
                <w:vertAlign w:val="superscript"/>
                <w:lang w:val="en-US"/>
              </w:rPr>
              <w:t>7</w:t>
            </w:r>
          </w:p>
        </w:tc>
        <w:tc>
          <w:tcPr>
            <w:tcW w:w="117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rPr>
              <w:t>2,36x10</w:t>
            </w:r>
            <w:r w:rsidRPr="00361B76">
              <w:rPr>
                <w:rFonts w:ascii="Arial" w:hAnsi="Arial" w:cs="Arial"/>
                <w:vertAlign w:val="superscript"/>
                <w:lang w:val="en-US"/>
              </w:rPr>
              <w:t>8</w:t>
            </w:r>
          </w:p>
        </w:tc>
        <w:tc>
          <w:tcPr>
            <w:tcW w:w="10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07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r>
      <w:tr w:rsidR="001F34CB" w:rsidRPr="00361B76" w:rsidTr="006C0AE7">
        <w:trPr>
          <w:trHeight w:val="213"/>
        </w:trPr>
        <w:tc>
          <w:tcPr>
            <w:tcW w:w="22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proofErr w:type="spellStart"/>
            <w:r w:rsidRPr="00361B76">
              <w:rPr>
                <w:rFonts w:ascii="Arial" w:hAnsi="Arial" w:cs="Arial"/>
                <w:lang w:val="en-US"/>
              </w:rPr>
              <w:t>Cepas</w:t>
            </w:r>
            <w:proofErr w:type="spellEnd"/>
          </w:p>
        </w:tc>
        <w:tc>
          <w:tcPr>
            <w:tcW w:w="4747" w:type="dxa"/>
            <w:gridSpan w:val="4"/>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0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xml:space="preserve">Media  </w:t>
            </w:r>
            <w:proofErr w:type="spellStart"/>
            <w:r w:rsidRPr="00361B76">
              <w:rPr>
                <w:rFonts w:ascii="Arial" w:hAnsi="Arial" w:cs="Arial"/>
                <w:lang w:val="en-US"/>
              </w:rPr>
              <w:t>Cepas</w:t>
            </w:r>
            <w:proofErr w:type="spellEnd"/>
          </w:p>
        </w:tc>
        <w:tc>
          <w:tcPr>
            <w:tcW w:w="107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EE (±)</w:t>
            </w:r>
          </w:p>
        </w:tc>
      </w:tr>
      <w:tr w:rsidR="001F34CB" w:rsidRPr="00361B76" w:rsidTr="006C0AE7">
        <w:trPr>
          <w:trHeight w:val="150"/>
        </w:trPr>
        <w:tc>
          <w:tcPr>
            <w:tcW w:w="2273"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x-none"/>
              </w:rPr>
              <w:t>OMRI</w:t>
            </w:r>
            <w:r w:rsidRPr="00361B76">
              <w:rPr>
                <w:rFonts w:ascii="Arial" w:hAnsi="Arial" w:cs="Arial"/>
                <w:lang w:val="es-ES"/>
              </w:rPr>
              <w:t>-</w:t>
            </w:r>
            <w:r w:rsidRPr="00361B76">
              <w:rPr>
                <w:rFonts w:ascii="Arial" w:hAnsi="Arial" w:cs="Arial"/>
                <w:lang w:val="x-none"/>
              </w:rPr>
              <w:t>listeo®</w:t>
            </w:r>
          </w:p>
        </w:tc>
        <w:tc>
          <w:tcPr>
            <w:tcW w:w="11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0,132 A</w:t>
            </w:r>
          </w:p>
        </w:tc>
        <w:tc>
          <w:tcPr>
            <w:tcW w:w="11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0,142 A</w:t>
            </w:r>
          </w:p>
        </w:tc>
        <w:tc>
          <w:tcPr>
            <w:tcW w:w="1257"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0,159 B</w:t>
            </w:r>
          </w:p>
        </w:tc>
        <w:tc>
          <w:tcPr>
            <w:tcW w:w="117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0,162 B</w:t>
            </w:r>
          </w:p>
        </w:tc>
        <w:tc>
          <w:tcPr>
            <w:tcW w:w="10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0,148 a</w:t>
            </w:r>
          </w:p>
        </w:tc>
        <w:tc>
          <w:tcPr>
            <w:tcW w:w="1078"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r>
      <w:tr w:rsidR="001F34CB" w:rsidRPr="00361B76" w:rsidTr="006C0AE7">
        <w:trPr>
          <w:trHeight w:val="150"/>
        </w:trPr>
        <w:tc>
          <w:tcPr>
            <w:tcW w:w="227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proofErr w:type="spellStart"/>
            <w:r w:rsidRPr="00361B76">
              <w:rPr>
                <w:rFonts w:ascii="Arial" w:hAnsi="Arial" w:cs="Arial"/>
                <w:lang w:val="en-US"/>
              </w:rPr>
              <w:t>LBb</w:t>
            </w:r>
            <w:proofErr w:type="spellEnd"/>
            <w:r w:rsidRPr="00361B76">
              <w:rPr>
                <w:rFonts w:ascii="Arial" w:hAnsi="Arial" w:cs="Arial"/>
                <w:lang w:val="en-US"/>
              </w:rPr>
              <w:t xml:space="preserve"> 111</w:t>
            </w:r>
          </w:p>
        </w:tc>
        <w:tc>
          <w:tcPr>
            <w:tcW w:w="116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0,156 B</w:t>
            </w:r>
          </w:p>
        </w:tc>
        <w:tc>
          <w:tcPr>
            <w:tcW w:w="116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0,167 B</w:t>
            </w:r>
          </w:p>
        </w:tc>
        <w:tc>
          <w:tcPr>
            <w:tcW w:w="1257"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0,174 BC</w:t>
            </w:r>
          </w:p>
        </w:tc>
        <w:tc>
          <w:tcPr>
            <w:tcW w:w="117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0,188 C</w:t>
            </w:r>
          </w:p>
        </w:tc>
        <w:tc>
          <w:tcPr>
            <w:tcW w:w="106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0,171 b</w:t>
            </w:r>
          </w:p>
        </w:tc>
        <w:tc>
          <w:tcPr>
            <w:tcW w:w="1078"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r>
      <w:tr w:rsidR="001F34CB" w:rsidRPr="00361B76" w:rsidTr="006C0AE7">
        <w:trPr>
          <w:trHeight w:val="303"/>
        </w:trPr>
        <w:tc>
          <w:tcPr>
            <w:tcW w:w="22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xml:space="preserve">Media  </w:t>
            </w:r>
            <w:proofErr w:type="spellStart"/>
            <w:r w:rsidRPr="00361B76">
              <w:rPr>
                <w:rFonts w:ascii="Arial" w:hAnsi="Arial" w:cs="Arial"/>
                <w:lang w:val="en-US"/>
              </w:rPr>
              <w:t>Concentración</w:t>
            </w:r>
            <w:proofErr w:type="spellEnd"/>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0,144 a</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xml:space="preserve">0,154 </w:t>
            </w:r>
            <w:proofErr w:type="spellStart"/>
            <w:r w:rsidRPr="00361B76">
              <w:rPr>
                <w:rFonts w:ascii="Arial" w:hAnsi="Arial" w:cs="Arial"/>
                <w:lang w:val="en-US"/>
              </w:rPr>
              <w:t>ab</w:t>
            </w:r>
            <w:proofErr w:type="spellEnd"/>
          </w:p>
        </w:tc>
        <w:tc>
          <w:tcPr>
            <w:tcW w:w="125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xml:space="preserve">0,166 </w:t>
            </w:r>
            <w:proofErr w:type="spellStart"/>
            <w:r w:rsidRPr="00361B76">
              <w:rPr>
                <w:rFonts w:ascii="Arial" w:hAnsi="Arial" w:cs="Arial"/>
                <w:lang w:val="en-US"/>
              </w:rPr>
              <w:t>bc</w:t>
            </w:r>
            <w:proofErr w:type="spellEnd"/>
          </w:p>
        </w:tc>
        <w:tc>
          <w:tcPr>
            <w:tcW w:w="117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0,175 c</w:t>
            </w:r>
          </w:p>
        </w:tc>
        <w:tc>
          <w:tcPr>
            <w:tcW w:w="10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0,159</w:t>
            </w:r>
          </w:p>
        </w:tc>
        <w:tc>
          <w:tcPr>
            <w:tcW w:w="107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0,003</w:t>
            </w:r>
          </w:p>
        </w:tc>
      </w:tr>
      <w:tr w:rsidR="001F34CB" w:rsidRPr="00361B76" w:rsidTr="006C0AE7">
        <w:trPr>
          <w:trHeight w:val="150"/>
        </w:trPr>
        <w:tc>
          <w:tcPr>
            <w:tcW w:w="22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EE (±)</w:t>
            </w:r>
          </w:p>
        </w:tc>
        <w:tc>
          <w:tcPr>
            <w:tcW w:w="4747" w:type="dxa"/>
            <w:gridSpan w:val="4"/>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0,007</w:t>
            </w:r>
          </w:p>
        </w:tc>
        <w:tc>
          <w:tcPr>
            <w:tcW w:w="10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0,038</w:t>
            </w:r>
          </w:p>
        </w:tc>
        <w:tc>
          <w:tcPr>
            <w:tcW w:w="107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r>
      <w:tr w:rsidR="001F34CB" w:rsidRPr="00361B76" w:rsidTr="006C0AE7">
        <w:trPr>
          <w:trHeight w:val="150"/>
        </w:trPr>
        <w:tc>
          <w:tcPr>
            <w:tcW w:w="22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CV (%)</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25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17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0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07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3,85</w:t>
            </w:r>
          </w:p>
        </w:tc>
      </w:tr>
    </w:tbl>
    <w:p w:rsidR="001F34CB" w:rsidRPr="00361B76" w:rsidRDefault="001F34CB" w:rsidP="00361B76">
      <w:pPr>
        <w:spacing w:line="360" w:lineRule="auto"/>
        <w:jc w:val="both"/>
        <w:rPr>
          <w:rFonts w:ascii="Arial" w:eastAsia="Calibri" w:hAnsi="Arial" w:cs="Arial"/>
        </w:rPr>
      </w:pPr>
      <w:r w:rsidRPr="00361B76">
        <w:rPr>
          <w:rFonts w:ascii="Arial" w:hAnsi="Arial" w:cs="Arial"/>
        </w:rPr>
        <w:lastRenderedPageBreak/>
        <w:t>Letras mayúsculas desiguales para las medias de las interacciones difieren para p ≤0,05</w:t>
      </w:r>
      <w:r w:rsidRPr="00361B76">
        <w:rPr>
          <w:rFonts w:ascii="Arial" w:eastAsia="Calibri" w:hAnsi="Arial" w:cs="Arial"/>
        </w:rPr>
        <w:t xml:space="preserve"> según prueba de rangos múltiples de </w:t>
      </w:r>
      <w:proofErr w:type="spellStart"/>
      <w:r w:rsidRPr="00361B76">
        <w:rPr>
          <w:rFonts w:ascii="Arial" w:eastAsia="Calibri" w:hAnsi="Arial" w:cs="Arial"/>
        </w:rPr>
        <w:t>Tukey</w:t>
      </w:r>
      <w:proofErr w:type="spellEnd"/>
    </w:p>
    <w:p w:rsidR="001F34CB" w:rsidRPr="00361B76" w:rsidRDefault="001F34CB" w:rsidP="00361B76">
      <w:pPr>
        <w:spacing w:line="360" w:lineRule="auto"/>
        <w:jc w:val="both"/>
        <w:rPr>
          <w:rFonts w:ascii="Arial" w:hAnsi="Arial" w:cs="Arial"/>
        </w:rPr>
      </w:pPr>
      <w:r w:rsidRPr="00361B76">
        <w:rPr>
          <w:rFonts w:ascii="Arial" w:hAnsi="Arial" w:cs="Arial"/>
        </w:rPr>
        <w:t>Letras minúsculas desiguales en la fila para las medias de las concentraciones difieren para p≤0,05</w:t>
      </w:r>
      <w:r w:rsidRPr="00361B76">
        <w:rPr>
          <w:rFonts w:ascii="Arial" w:eastAsia="Calibri" w:hAnsi="Arial" w:cs="Arial"/>
        </w:rPr>
        <w:t xml:space="preserve"> según prueba de rangos múltiples de </w:t>
      </w:r>
      <w:proofErr w:type="spellStart"/>
      <w:r w:rsidRPr="00361B76">
        <w:rPr>
          <w:rFonts w:ascii="Arial" w:eastAsia="Calibri" w:hAnsi="Arial" w:cs="Arial"/>
        </w:rPr>
        <w:t>Tukey</w:t>
      </w:r>
      <w:proofErr w:type="spellEnd"/>
    </w:p>
    <w:p w:rsidR="001F34CB" w:rsidRPr="00361B76" w:rsidRDefault="001F34CB" w:rsidP="00361B76">
      <w:pPr>
        <w:spacing w:line="360" w:lineRule="auto"/>
        <w:jc w:val="both"/>
        <w:rPr>
          <w:rFonts w:ascii="Arial" w:eastAsia="Calibri" w:hAnsi="Arial" w:cs="Arial"/>
        </w:rPr>
      </w:pPr>
      <w:r w:rsidRPr="00361B76">
        <w:rPr>
          <w:rFonts w:ascii="Arial" w:hAnsi="Arial" w:cs="Arial"/>
        </w:rPr>
        <w:t xml:space="preserve">Letras minúsculas desiguales en la columna para las medias de las cepas difieren para p ≤0,05 </w:t>
      </w:r>
      <w:r w:rsidRPr="00361B76">
        <w:rPr>
          <w:rFonts w:ascii="Arial" w:eastAsia="Calibri" w:hAnsi="Arial" w:cs="Arial"/>
        </w:rPr>
        <w:t xml:space="preserve">según prueba de rangos múltiples de </w:t>
      </w:r>
      <w:proofErr w:type="spellStart"/>
      <w:r w:rsidRPr="00361B76">
        <w:rPr>
          <w:rFonts w:ascii="Arial" w:eastAsia="Calibri" w:hAnsi="Arial" w:cs="Arial"/>
        </w:rPr>
        <w:t>Tukey</w:t>
      </w:r>
      <w:proofErr w:type="spellEnd"/>
    </w:p>
    <w:p w:rsidR="001F34CB" w:rsidRPr="00361B76" w:rsidRDefault="001F34CB" w:rsidP="00361B76">
      <w:pPr>
        <w:spacing w:line="360" w:lineRule="auto"/>
        <w:jc w:val="both"/>
        <w:rPr>
          <w:rFonts w:ascii="Arial" w:hAnsi="Arial" w:cs="Arial"/>
        </w:rPr>
      </w:pPr>
    </w:p>
    <w:p w:rsidR="00082BBA" w:rsidRPr="00361B76" w:rsidRDefault="001F34CB" w:rsidP="00361B76">
      <w:pPr>
        <w:spacing w:line="360" w:lineRule="auto"/>
        <w:jc w:val="both"/>
        <w:rPr>
          <w:rFonts w:ascii="Arial" w:hAnsi="Arial" w:cs="Arial"/>
          <w:lang w:val="es-US"/>
        </w:rPr>
      </w:pPr>
      <w:r w:rsidRPr="00361B76">
        <w:rPr>
          <w:rFonts w:ascii="Arial" w:hAnsi="Arial" w:cs="Arial"/>
        </w:rPr>
        <w:t>En los resultados de la acidez es a los cinco días donde se alcanza la mayor expresión del efecto de las esporas de los hongos sobre este indicador. En la tabla 4 se muestra que a pesar de que solo la concentración de 2,36x10</w:t>
      </w:r>
      <w:r w:rsidRPr="00361B76">
        <w:rPr>
          <w:rFonts w:ascii="Arial" w:hAnsi="Arial" w:cs="Arial"/>
          <w:vertAlign w:val="superscript"/>
        </w:rPr>
        <w:t xml:space="preserve">8 </w:t>
      </w:r>
      <w:r w:rsidRPr="00361B76">
        <w:rPr>
          <w:rFonts w:ascii="Arial" w:hAnsi="Arial" w:cs="Arial"/>
        </w:rPr>
        <w:t xml:space="preserve">de la cepa </w:t>
      </w:r>
      <w:r w:rsidRPr="00361B76">
        <w:rPr>
          <w:rFonts w:ascii="Arial" w:hAnsi="Arial" w:cs="Arial"/>
          <w:lang w:val="x-none"/>
        </w:rPr>
        <w:t>OMRI-listeo®</w:t>
      </w:r>
      <w:r w:rsidRPr="00361B76">
        <w:rPr>
          <w:rFonts w:ascii="Arial" w:hAnsi="Arial" w:cs="Arial"/>
          <w:lang w:val="es-ES"/>
        </w:rPr>
        <w:t xml:space="preserve"> sobrepasa en 0,02 el valor crítico, no hubo una incidencia negativa en este carácter evaluado. Se observa además que los mejores valores se alcanzan en las dos cepas estudiadas con las concentraciones inferiores al </w:t>
      </w:r>
      <w:r w:rsidRPr="00361B76">
        <w:rPr>
          <w:rFonts w:ascii="Arial" w:hAnsi="Arial" w:cs="Arial"/>
        </w:rPr>
        <w:t>2,36x10</w:t>
      </w:r>
      <w:r w:rsidRPr="00361B76">
        <w:rPr>
          <w:rFonts w:ascii="Arial" w:hAnsi="Arial" w:cs="Arial"/>
          <w:vertAlign w:val="superscript"/>
          <w:lang w:val="es-US"/>
        </w:rPr>
        <w:t>7</w:t>
      </w:r>
      <w:r w:rsidRPr="00361B76">
        <w:rPr>
          <w:rFonts w:ascii="Arial" w:hAnsi="Arial" w:cs="Arial"/>
          <w:lang w:val="es-US"/>
        </w:rPr>
        <w:t xml:space="preserve">, con diferencias estadísticas a la concentración de </w:t>
      </w:r>
      <w:r w:rsidRPr="00361B76">
        <w:rPr>
          <w:rFonts w:ascii="Arial" w:hAnsi="Arial" w:cs="Arial"/>
        </w:rPr>
        <w:t>2,36x10</w:t>
      </w:r>
      <w:r w:rsidRPr="00361B76">
        <w:rPr>
          <w:rFonts w:ascii="Arial" w:hAnsi="Arial" w:cs="Arial"/>
          <w:vertAlign w:val="superscript"/>
          <w:lang w:val="es-US"/>
        </w:rPr>
        <w:t>8</w:t>
      </w:r>
      <w:r w:rsidRPr="00361B76">
        <w:rPr>
          <w:rFonts w:ascii="Arial" w:hAnsi="Arial" w:cs="Arial"/>
          <w:lang w:val="es-US"/>
        </w:rPr>
        <w:t xml:space="preserve">. </w:t>
      </w:r>
    </w:p>
    <w:p w:rsidR="00082BBA" w:rsidRPr="00361B76" w:rsidRDefault="00082BBA" w:rsidP="00361B76">
      <w:pPr>
        <w:spacing w:line="360" w:lineRule="auto"/>
        <w:jc w:val="both"/>
        <w:rPr>
          <w:rFonts w:ascii="Arial" w:hAnsi="Arial" w:cs="Arial"/>
          <w:lang w:val="es-US"/>
        </w:rPr>
      </w:pPr>
    </w:p>
    <w:p w:rsidR="001F34CB" w:rsidRPr="00361B76" w:rsidRDefault="001F34CB" w:rsidP="00361B76">
      <w:pPr>
        <w:spacing w:line="360" w:lineRule="auto"/>
        <w:jc w:val="both"/>
        <w:rPr>
          <w:rFonts w:ascii="Arial" w:hAnsi="Arial" w:cs="Arial"/>
        </w:rPr>
      </w:pPr>
      <w:r w:rsidRPr="00361B76">
        <w:rPr>
          <w:rFonts w:ascii="Arial" w:hAnsi="Arial" w:cs="Arial"/>
          <w:lang w:val="es-US"/>
        </w:rPr>
        <w:t xml:space="preserve">Las cepas no difieren estadísticamente entre ellas y en la interacción de las variables cepas-concentración los mejores valores se logran en ambas cepas con las concentraciones de </w:t>
      </w:r>
      <w:r w:rsidRPr="00361B76">
        <w:rPr>
          <w:rFonts w:ascii="Arial" w:hAnsi="Arial" w:cs="Arial"/>
        </w:rPr>
        <w:t>2,36x10</w:t>
      </w:r>
      <w:r w:rsidRPr="00361B76">
        <w:rPr>
          <w:rFonts w:ascii="Arial" w:hAnsi="Arial" w:cs="Arial"/>
          <w:vertAlign w:val="superscript"/>
        </w:rPr>
        <w:t xml:space="preserve">5 </w:t>
      </w:r>
      <w:r w:rsidRPr="00361B76">
        <w:rPr>
          <w:rFonts w:ascii="Arial" w:hAnsi="Arial" w:cs="Arial"/>
          <w:lang w:val="es-US"/>
        </w:rPr>
        <w:t xml:space="preserve">y </w:t>
      </w:r>
      <w:r w:rsidRPr="00361B76">
        <w:rPr>
          <w:rFonts w:ascii="Arial" w:hAnsi="Arial" w:cs="Arial"/>
        </w:rPr>
        <w:t>2,36x10</w:t>
      </w:r>
      <w:r w:rsidRPr="00361B76">
        <w:rPr>
          <w:rFonts w:ascii="Arial" w:hAnsi="Arial" w:cs="Arial"/>
          <w:vertAlign w:val="superscript"/>
        </w:rPr>
        <w:t>6</w:t>
      </w:r>
      <w:r w:rsidRPr="00361B76">
        <w:rPr>
          <w:rFonts w:ascii="Arial" w:hAnsi="Arial" w:cs="Arial"/>
          <w:lang w:val="es-US"/>
        </w:rPr>
        <w:t xml:space="preserve">, lo cual expresa que las esporas de los hongos entomopatógenos en bajas concentraciones no afecta la acidez de la miel.    </w:t>
      </w:r>
      <w:r w:rsidRPr="00361B76">
        <w:rPr>
          <w:rFonts w:ascii="Arial" w:hAnsi="Arial" w:cs="Arial"/>
          <w:lang w:val="es-ES"/>
        </w:rPr>
        <w:t xml:space="preserve">  </w:t>
      </w:r>
      <w:r w:rsidRPr="00361B76">
        <w:rPr>
          <w:rFonts w:ascii="Arial" w:hAnsi="Arial" w:cs="Arial"/>
        </w:rPr>
        <w:t xml:space="preserve">     </w:t>
      </w:r>
    </w:p>
    <w:p w:rsidR="001F34CB" w:rsidRPr="00361B76" w:rsidRDefault="001F34CB" w:rsidP="00361B76">
      <w:pPr>
        <w:spacing w:line="360" w:lineRule="auto"/>
        <w:jc w:val="both"/>
        <w:rPr>
          <w:rFonts w:ascii="Arial" w:hAnsi="Arial" w:cs="Arial"/>
        </w:rPr>
      </w:pPr>
    </w:p>
    <w:p w:rsidR="001F34CB" w:rsidRPr="00361B76" w:rsidRDefault="001F34CB" w:rsidP="00361B76">
      <w:pPr>
        <w:spacing w:line="360" w:lineRule="auto"/>
        <w:jc w:val="center"/>
        <w:rPr>
          <w:rFonts w:ascii="Arial" w:hAnsi="Arial" w:cs="Arial"/>
          <w:lang w:val="x-none"/>
        </w:rPr>
      </w:pPr>
      <w:r w:rsidRPr="00361B76">
        <w:rPr>
          <w:rFonts w:ascii="Arial" w:hAnsi="Arial" w:cs="Arial"/>
          <w:lang w:val="x-none"/>
        </w:rPr>
        <w:t xml:space="preserve">Tabla </w:t>
      </w:r>
      <w:r w:rsidRPr="00361B76">
        <w:rPr>
          <w:rFonts w:ascii="Arial" w:hAnsi="Arial" w:cs="Arial"/>
          <w:lang w:val="es-ES"/>
        </w:rPr>
        <w:t>4</w:t>
      </w:r>
      <w:r w:rsidRPr="00361B76">
        <w:rPr>
          <w:rFonts w:ascii="Arial" w:hAnsi="Arial" w:cs="Arial"/>
          <w:lang w:val="x-none"/>
        </w:rPr>
        <w:t xml:space="preserve">. Acidez a los </w:t>
      </w:r>
      <w:r w:rsidRPr="00361B76">
        <w:rPr>
          <w:rFonts w:ascii="Arial" w:hAnsi="Arial" w:cs="Arial"/>
          <w:lang w:val="es-ES"/>
        </w:rPr>
        <w:t>cinco</w:t>
      </w:r>
      <w:r w:rsidRPr="00361B76">
        <w:rPr>
          <w:rFonts w:ascii="Arial" w:hAnsi="Arial" w:cs="Arial"/>
          <w:lang w:val="x-none"/>
        </w:rPr>
        <w:t xml:space="preserve"> días, Rango crítico 4-5</w:t>
      </w:r>
    </w:p>
    <w:tbl>
      <w:tblPr>
        <w:tblW w:w="8370" w:type="dxa"/>
        <w:jc w:val="center"/>
        <w:tblLayout w:type="fixed"/>
        <w:tblCellMar>
          <w:left w:w="0" w:type="dxa"/>
          <w:right w:w="0" w:type="dxa"/>
        </w:tblCellMar>
        <w:tblLook w:val="04A0" w:firstRow="1" w:lastRow="0" w:firstColumn="1" w:lastColumn="0" w:noHBand="0" w:noVBand="1"/>
      </w:tblPr>
      <w:tblGrid>
        <w:gridCol w:w="1764"/>
        <w:gridCol w:w="1160"/>
        <w:gridCol w:w="1160"/>
        <w:gridCol w:w="1160"/>
        <w:gridCol w:w="1160"/>
        <w:gridCol w:w="1066"/>
        <w:gridCol w:w="900"/>
      </w:tblGrid>
      <w:tr w:rsidR="001F34CB" w:rsidRPr="00361B76" w:rsidTr="006C0AE7">
        <w:trPr>
          <w:trHeight w:val="200"/>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both"/>
              <w:rPr>
                <w:rFonts w:ascii="Arial" w:hAnsi="Arial" w:cs="Arial"/>
                <w:lang w:val="es-US"/>
              </w:rPr>
            </w:pPr>
            <w:r w:rsidRPr="00361B76">
              <w:rPr>
                <w:rFonts w:ascii="Arial" w:hAnsi="Arial" w:cs="Arial"/>
                <w:lang w:val="es-US"/>
              </w:rPr>
              <w:lastRenderedPageBreak/>
              <w:t>Concentración</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both"/>
              <w:rPr>
                <w:rFonts w:ascii="Arial" w:hAnsi="Arial" w:cs="Arial"/>
                <w:vertAlign w:val="superscript"/>
                <w:lang w:val="es-US"/>
              </w:rPr>
            </w:pPr>
            <w:r w:rsidRPr="00361B76">
              <w:rPr>
                <w:rFonts w:ascii="Arial" w:hAnsi="Arial" w:cs="Arial"/>
              </w:rPr>
              <w:t>2,36x10</w:t>
            </w:r>
            <w:r w:rsidRPr="00361B76">
              <w:rPr>
                <w:rFonts w:ascii="Arial" w:hAnsi="Arial" w:cs="Arial"/>
                <w:vertAlign w:val="superscript"/>
              </w:rPr>
              <w:t>5</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both"/>
              <w:rPr>
                <w:rFonts w:ascii="Arial" w:hAnsi="Arial" w:cs="Arial"/>
                <w:lang w:val="es-US"/>
              </w:rPr>
            </w:pPr>
            <w:r w:rsidRPr="00361B76">
              <w:rPr>
                <w:rFonts w:ascii="Arial" w:hAnsi="Arial" w:cs="Arial"/>
              </w:rPr>
              <w:t>2,36x10</w:t>
            </w:r>
            <w:r w:rsidRPr="00361B76">
              <w:rPr>
                <w:rFonts w:ascii="Arial" w:hAnsi="Arial" w:cs="Arial"/>
                <w:vertAlign w:val="superscript"/>
                <w:lang w:val="es-US"/>
              </w:rPr>
              <w:t>6</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both"/>
              <w:rPr>
                <w:rFonts w:ascii="Arial" w:hAnsi="Arial" w:cs="Arial"/>
                <w:lang w:val="es-US"/>
              </w:rPr>
            </w:pPr>
            <w:r w:rsidRPr="00361B76">
              <w:rPr>
                <w:rFonts w:ascii="Arial" w:hAnsi="Arial" w:cs="Arial"/>
              </w:rPr>
              <w:t>2,36x10</w:t>
            </w:r>
            <w:r w:rsidRPr="00361B76">
              <w:rPr>
                <w:rFonts w:ascii="Arial" w:hAnsi="Arial" w:cs="Arial"/>
                <w:vertAlign w:val="superscript"/>
                <w:lang w:val="es-US"/>
              </w:rPr>
              <w:t>7</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both"/>
              <w:rPr>
                <w:rFonts w:ascii="Arial" w:hAnsi="Arial" w:cs="Arial"/>
                <w:lang w:val="es-US"/>
              </w:rPr>
            </w:pPr>
            <w:r w:rsidRPr="00361B76">
              <w:rPr>
                <w:rFonts w:ascii="Arial" w:hAnsi="Arial" w:cs="Arial"/>
              </w:rPr>
              <w:t>2,36x10</w:t>
            </w:r>
            <w:r w:rsidRPr="00361B76">
              <w:rPr>
                <w:rFonts w:ascii="Arial" w:hAnsi="Arial" w:cs="Arial"/>
                <w:vertAlign w:val="superscript"/>
                <w:lang w:val="es-US"/>
              </w:rPr>
              <w:t>8</w:t>
            </w:r>
          </w:p>
        </w:tc>
        <w:tc>
          <w:tcPr>
            <w:tcW w:w="106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both"/>
              <w:rPr>
                <w:rFonts w:ascii="Arial" w:hAnsi="Arial" w:cs="Arial"/>
                <w:lang w:val="es-US"/>
              </w:rPr>
            </w:pPr>
            <w:r w:rsidRPr="00361B76">
              <w:rPr>
                <w:rFonts w:ascii="Arial" w:hAnsi="Arial" w:cs="Arial"/>
                <w:lang w:val="es-US"/>
              </w:rPr>
              <w:t> </w:t>
            </w:r>
          </w:p>
        </w:tc>
        <w:tc>
          <w:tcPr>
            <w:tcW w:w="9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both"/>
              <w:rPr>
                <w:rFonts w:ascii="Arial" w:hAnsi="Arial" w:cs="Arial"/>
                <w:lang w:val="es-US"/>
              </w:rPr>
            </w:pPr>
            <w:r w:rsidRPr="00361B76">
              <w:rPr>
                <w:rFonts w:ascii="Arial" w:hAnsi="Arial" w:cs="Arial"/>
                <w:lang w:val="es-US"/>
              </w:rPr>
              <w:t> </w:t>
            </w:r>
          </w:p>
        </w:tc>
      </w:tr>
      <w:tr w:rsidR="001F34CB" w:rsidRPr="00361B76" w:rsidTr="006C0AE7">
        <w:trPr>
          <w:trHeight w:val="283"/>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s-US"/>
              </w:rPr>
              <w:t>Cepas</w:t>
            </w:r>
          </w:p>
        </w:tc>
        <w:tc>
          <w:tcPr>
            <w:tcW w:w="4640" w:type="dxa"/>
            <w:gridSpan w:val="4"/>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s-US"/>
              </w:rPr>
              <w:t> </w:t>
            </w:r>
          </w:p>
        </w:tc>
        <w:tc>
          <w:tcPr>
            <w:tcW w:w="106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s-US"/>
              </w:rPr>
              <w:t xml:space="preserve">Media  </w:t>
            </w:r>
            <w:proofErr w:type="spellStart"/>
            <w:r w:rsidRPr="00361B76">
              <w:rPr>
                <w:rFonts w:ascii="Arial" w:hAnsi="Arial" w:cs="Arial"/>
                <w:lang w:val="es-US"/>
              </w:rPr>
              <w:t>Cep</w:t>
            </w:r>
            <w:proofErr w:type="spellEnd"/>
            <w:r w:rsidRPr="00361B76">
              <w:rPr>
                <w:rFonts w:ascii="Arial" w:hAnsi="Arial" w:cs="Arial"/>
                <w:lang w:val="en-US"/>
              </w:rPr>
              <w:t>as</w:t>
            </w:r>
          </w:p>
        </w:tc>
        <w:tc>
          <w:tcPr>
            <w:tcW w:w="9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EE (±)</w:t>
            </w:r>
          </w:p>
        </w:tc>
      </w:tr>
      <w:tr w:rsidR="001F34CB" w:rsidRPr="00361B76" w:rsidTr="006C0AE7">
        <w:trPr>
          <w:trHeight w:val="200"/>
          <w:jc w:val="center"/>
        </w:trPr>
        <w:tc>
          <w:tcPr>
            <w:tcW w:w="1764"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x-none"/>
              </w:rPr>
              <w:t>OMRI-listeo®</w:t>
            </w:r>
          </w:p>
        </w:tc>
        <w:tc>
          <w:tcPr>
            <w:tcW w:w="11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xml:space="preserve">4,13 A </w:t>
            </w:r>
          </w:p>
        </w:tc>
        <w:tc>
          <w:tcPr>
            <w:tcW w:w="11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4,28 AB</w:t>
            </w:r>
          </w:p>
        </w:tc>
        <w:tc>
          <w:tcPr>
            <w:tcW w:w="11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xml:space="preserve">4,67 BC </w:t>
            </w:r>
          </w:p>
        </w:tc>
        <w:tc>
          <w:tcPr>
            <w:tcW w:w="11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xml:space="preserve">5,02 C </w:t>
            </w:r>
          </w:p>
        </w:tc>
        <w:tc>
          <w:tcPr>
            <w:tcW w:w="1066"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s-US"/>
              </w:rPr>
              <w:t>4,52 ab</w:t>
            </w:r>
          </w:p>
        </w:tc>
        <w:tc>
          <w:tcPr>
            <w:tcW w:w="90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r>
      <w:tr w:rsidR="001F34CB" w:rsidRPr="00361B76" w:rsidTr="006C0AE7">
        <w:trPr>
          <w:trHeight w:val="200"/>
          <w:jc w:val="center"/>
        </w:trPr>
        <w:tc>
          <w:tcPr>
            <w:tcW w:w="176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proofErr w:type="spellStart"/>
            <w:r w:rsidRPr="00361B76">
              <w:rPr>
                <w:rFonts w:ascii="Arial" w:hAnsi="Arial" w:cs="Arial"/>
                <w:lang w:val="en-US"/>
              </w:rPr>
              <w:t>LBb</w:t>
            </w:r>
            <w:proofErr w:type="spellEnd"/>
            <w:r w:rsidRPr="00361B76">
              <w:rPr>
                <w:rFonts w:ascii="Arial" w:hAnsi="Arial" w:cs="Arial"/>
                <w:lang w:val="en-US"/>
              </w:rPr>
              <w:t xml:space="preserve"> 111</w:t>
            </w:r>
          </w:p>
        </w:tc>
        <w:tc>
          <w:tcPr>
            <w:tcW w:w="1160" w:type="dxa"/>
            <w:tcBorders>
              <w:top w:val="nil"/>
              <w:left w:val="nil"/>
              <w:bottom w:val="single" w:sz="8" w:space="0" w:color="000000"/>
              <w:right w:val="nil"/>
            </w:tcBorders>
            <w:shd w:val="clear" w:color="auto" w:fill="auto"/>
            <w:tcMar>
              <w:top w:w="15" w:type="dxa"/>
              <w:left w:w="108" w:type="dxa"/>
              <w:bottom w:w="0" w:type="dxa"/>
              <w:right w:w="108" w:type="dxa"/>
            </w:tcMar>
          </w:tcPr>
          <w:p w:rsidR="001F34CB" w:rsidRPr="00361B76" w:rsidRDefault="001F34CB" w:rsidP="00361B76">
            <w:pPr>
              <w:spacing w:line="360" w:lineRule="auto"/>
              <w:rPr>
                <w:rFonts w:ascii="Arial" w:hAnsi="Arial" w:cs="Arial"/>
                <w:lang w:val="es-US"/>
              </w:rPr>
            </w:pPr>
            <w:r w:rsidRPr="00361B76">
              <w:rPr>
                <w:rFonts w:ascii="Arial" w:hAnsi="Arial" w:cs="Arial"/>
                <w:lang w:val="es-US"/>
              </w:rPr>
              <w:t>4,03 A</w:t>
            </w:r>
          </w:p>
        </w:tc>
        <w:tc>
          <w:tcPr>
            <w:tcW w:w="1160" w:type="dxa"/>
            <w:tcBorders>
              <w:top w:val="nil"/>
              <w:left w:val="nil"/>
              <w:bottom w:val="single" w:sz="8" w:space="0" w:color="000000"/>
              <w:right w:val="nil"/>
            </w:tcBorders>
            <w:shd w:val="clear" w:color="auto" w:fill="auto"/>
            <w:tcMar>
              <w:top w:w="15" w:type="dxa"/>
              <w:left w:w="108" w:type="dxa"/>
              <w:bottom w:w="0" w:type="dxa"/>
              <w:right w:w="108" w:type="dxa"/>
            </w:tcMar>
          </w:tcPr>
          <w:p w:rsidR="001F34CB" w:rsidRPr="00361B76" w:rsidRDefault="001F34CB" w:rsidP="00361B76">
            <w:pPr>
              <w:spacing w:line="360" w:lineRule="auto"/>
              <w:rPr>
                <w:rFonts w:ascii="Arial" w:hAnsi="Arial" w:cs="Arial"/>
                <w:lang w:val="es-US"/>
              </w:rPr>
            </w:pPr>
            <w:r w:rsidRPr="00361B76">
              <w:rPr>
                <w:rFonts w:ascii="Arial" w:hAnsi="Arial" w:cs="Arial"/>
                <w:lang w:val="es-US"/>
              </w:rPr>
              <w:t>4,04 A</w:t>
            </w:r>
          </w:p>
        </w:tc>
        <w:tc>
          <w:tcPr>
            <w:tcW w:w="1160" w:type="dxa"/>
            <w:tcBorders>
              <w:top w:val="nil"/>
              <w:left w:val="nil"/>
              <w:bottom w:val="single" w:sz="8" w:space="0" w:color="000000"/>
              <w:right w:val="nil"/>
            </w:tcBorders>
            <w:shd w:val="clear" w:color="auto" w:fill="auto"/>
            <w:tcMar>
              <w:top w:w="15" w:type="dxa"/>
              <w:left w:w="108" w:type="dxa"/>
              <w:bottom w:w="0" w:type="dxa"/>
              <w:right w:w="108" w:type="dxa"/>
            </w:tcMar>
          </w:tcPr>
          <w:p w:rsidR="001F34CB" w:rsidRPr="00361B76" w:rsidRDefault="001F34CB" w:rsidP="00361B76">
            <w:pPr>
              <w:spacing w:line="360" w:lineRule="auto"/>
              <w:rPr>
                <w:rFonts w:ascii="Arial" w:hAnsi="Arial" w:cs="Arial"/>
                <w:lang w:val="es-US"/>
              </w:rPr>
            </w:pPr>
            <w:r w:rsidRPr="00361B76">
              <w:rPr>
                <w:rFonts w:ascii="Arial" w:hAnsi="Arial" w:cs="Arial"/>
                <w:lang w:val="es-US"/>
              </w:rPr>
              <w:t>4,08 A</w:t>
            </w:r>
          </w:p>
        </w:tc>
        <w:tc>
          <w:tcPr>
            <w:tcW w:w="1160" w:type="dxa"/>
            <w:tcBorders>
              <w:top w:val="nil"/>
              <w:left w:val="nil"/>
              <w:bottom w:val="single" w:sz="8" w:space="0" w:color="000000"/>
              <w:right w:val="nil"/>
            </w:tcBorders>
            <w:shd w:val="clear" w:color="auto" w:fill="auto"/>
            <w:tcMar>
              <w:top w:w="15" w:type="dxa"/>
              <w:left w:w="108" w:type="dxa"/>
              <w:bottom w:w="0" w:type="dxa"/>
              <w:right w:w="108" w:type="dxa"/>
            </w:tcMar>
          </w:tcPr>
          <w:p w:rsidR="001F34CB" w:rsidRPr="00361B76" w:rsidRDefault="001F34CB" w:rsidP="00361B76">
            <w:pPr>
              <w:spacing w:line="360" w:lineRule="auto"/>
              <w:rPr>
                <w:rFonts w:ascii="Arial" w:hAnsi="Arial" w:cs="Arial"/>
                <w:lang w:val="es-US"/>
              </w:rPr>
            </w:pPr>
            <w:r w:rsidRPr="00361B76">
              <w:rPr>
                <w:rFonts w:ascii="Arial" w:hAnsi="Arial" w:cs="Arial"/>
                <w:lang w:val="es-US"/>
              </w:rPr>
              <w:t>4,13 A</w:t>
            </w:r>
          </w:p>
        </w:tc>
        <w:tc>
          <w:tcPr>
            <w:tcW w:w="1066" w:type="dxa"/>
            <w:tcBorders>
              <w:top w:val="nil"/>
              <w:left w:val="nil"/>
              <w:bottom w:val="single" w:sz="8" w:space="0" w:color="000000"/>
              <w:right w:val="nil"/>
            </w:tcBorders>
            <w:shd w:val="clear" w:color="auto" w:fill="auto"/>
            <w:tcMar>
              <w:top w:w="15" w:type="dxa"/>
              <w:left w:w="108" w:type="dxa"/>
              <w:bottom w:w="0" w:type="dxa"/>
              <w:right w:w="108" w:type="dxa"/>
            </w:tcMar>
          </w:tcPr>
          <w:p w:rsidR="001F34CB" w:rsidRPr="00361B76" w:rsidRDefault="001F34CB" w:rsidP="00361B76">
            <w:pPr>
              <w:spacing w:line="360" w:lineRule="auto"/>
              <w:rPr>
                <w:rFonts w:ascii="Arial" w:hAnsi="Arial" w:cs="Arial"/>
                <w:lang w:val="es-US"/>
              </w:rPr>
            </w:pPr>
            <w:r w:rsidRPr="00361B76">
              <w:rPr>
                <w:rFonts w:ascii="Arial" w:hAnsi="Arial" w:cs="Arial"/>
                <w:lang w:val="es-US"/>
              </w:rPr>
              <w:t>4,07 a</w:t>
            </w:r>
          </w:p>
        </w:tc>
        <w:tc>
          <w:tcPr>
            <w:tcW w:w="90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r>
      <w:tr w:rsidR="001F34CB" w:rsidRPr="00361B76" w:rsidTr="006C0AE7">
        <w:trPr>
          <w:trHeight w:val="402"/>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xml:space="preserve">Media  </w:t>
            </w:r>
            <w:proofErr w:type="spellStart"/>
            <w:r w:rsidRPr="00361B76">
              <w:rPr>
                <w:rFonts w:ascii="Arial" w:hAnsi="Arial" w:cs="Arial"/>
                <w:lang w:val="en-US"/>
              </w:rPr>
              <w:t>Concentración</w:t>
            </w:r>
            <w:proofErr w:type="spellEnd"/>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1F34CB" w:rsidRPr="00361B76" w:rsidRDefault="001F34CB" w:rsidP="00361B76">
            <w:pPr>
              <w:spacing w:line="360" w:lineRule="auto"/>
              <w:rPr>
                <w:rFonts w:ascii="Arial" w:hAnsi="Arial" w:cs="Arial"/>
                <w:lang w:val="es-US"/>
              </w:rPr>
            </w:pPr>
            <w:r w:rsidRPr="00361B76">
              <w:rPr>
                <w:rFonts w:ascii="Arial" w:hAnsi="Arial" w:cs="Arial"/>
                <w:lang w:val="es-US"/>
              </w:rPr>
              <w:t>4,08ª</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1F34CB" w:rsidRPr="00361B76" w:rsidRDefault="001F34CB" w:rsidP="00361B76">
            <w:pPr>
              <w:spacing w:line="360" w:lineRule="auto"/>
              <w:rPr>
                <w:rFonts w:ascii="Arial" w:hAnsi="Arial" w:cs="Arial"/>
                <w:lang w:val="es-US"/>
              </w:rPr>
            </w:pPr>
            <w:r w:rsidRPr="00361B76">
              <w:rPr>
                <w:rFonts w:ascii="Arial" w:hAnsi="Arial" w:cs="Arial"/>
                <w:lang w:val="es-US"/>
              </w:rPr>
              <w:t xml:space="preserve">4,16ª </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1F34CB" w:rsidRPr="00361B76" w:rsidRDefault="001F34CB" w:rsidP="00361B76">
            <w:pPr>
              <w:spacing w:line="360" w:lineRule="auto"/>
              <w:rPr>
                <w:rFonts w:ascii="Arial" w:hAnsi="Arial" w:cs="Arial"/>
                <w:lang w:val="es-US"/>
              </w:rPr>
            </w:pPr>
            <w:r w:rsidRPr="00361B76">
              <w:rPr>
                <w:rFonts w:ascii="Arial" w:hAnsi="Arial" w:cs="Arial"/>
                <w:lang w:val="es-US"/>
              </w:rPr>
              <w:t>4,37ab</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1F34CB" w:rsidRPr="00361B76" w:rsidRDefault="001F34CB" w:rsidP="00361B76">
            <w:pPr>
              <w:spacing w:line="360" w:lineRule="auto"/>
              <w:rPr>
                <w:rFonts w:ascii="Arial" w:hAnsi="Arial" w:cs="Arial"/>
                <w:lang w:val="es-US"/>
              </w:rPr>
            </w:pPr>
            <w:r w:rsidRPr="00361B76">
              <w:rPr>
                <w:rFonts w:ascii="Arial" w:hAnsi="Arial" w:cs="Arial"/>
                <w:lang w:val="es-US"/>
              </w:rPr>
              <w:t>4,57b</w:t>
            </w:r>
          </w:p>
        </w:tc>
        <w:tc>
          <w:tcPr>
            <w:tcW w:w="106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s-US"/>
              </w:rPr>
              <w:t>4,29</w:t>
            </w:r>
          </w:p>
        </w:tc>
        <w:tc>
          <w:tcPr>
            <w:tcW w:w="9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0,038</w:t>
            </w:r>
          </w:p>
        </w:tc>
      </w:tr>
      <w:tr w:rsidR="001F34CB" w:rsidRPr="00361B76" w:rsidTr="006C0AE7">
        <w:trPr>
          <w:trHeight w:val="200"/>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EE (±)</w:t>
            </w:r>
          </w:p>
        </w:tc>
        <w:tc>
          <w:tcPr>
            <w:tcW w:w="4640" w:type="dxa"/>
            <w:gridSpan w:val="4"/>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jc w:val="center"/>
              <w:rPr>
                <w:rFonts w:ascii="Arial" w:hAnsi="Arial" w:cs="Arial"/>
                <w:lang w:val="es-US"/>
              </w:rPr>
            </w:pPr>
            <w:r w:rsidRPr="00361B76">
              <w:rPr>
                <w:rFonts w:ascii="Arial" w:hAnsi="Arial" w:cs="Arial"/>
                <w:lang w:val="en-US"/>
              </w:rPr>
              <w:t>0,013</w:t>
            </w:r>
          </w:p>
        </w:tc>
        <w:tc>
          <w:tcPr>
            <w:tcW w:w="106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0,051</w:t>
            </w:r>
          </w:p>
        </w:tc>
        <w:tc>
          <w:tcPr>
            <w:tcW w:w="9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r>
      <w:tr w:rsidR="001F34CB" w:rsidRPr="00361B76" w:rsidTr="006C0AE7">
        <w:trPr>
          <w:trHeight w:val="200"/>
          <w:jc w:val="center"/>
        </w:trPr>
        <w:tc>
          <w:tcPr>
            <w:tcW w:w="176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CV (%)</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106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 </w:t>
            </w:r>
          </w:p>
        </w:tc>
        <w:tc>
          <w:tcPr>
            <w:tcW w:w="9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F34CB" w:rsidRPr="00361B76" w:rsidRDefault="001F34CB" w:rsidP="00361B76">
            <w:pPr>
              <w:spacing w:line="360" w:lineRule="auto"/>
              <w:rPr>
                <w:rFonts w:ascii="Arial" w:hAnsi="Arial" w:cs="Arial"/>
                <w:lang w:val="es-US"/>
              </w:rPr>
            </w:pPr>
            <w:r w:rsidRPr="00361B76">
              <w:rPr>
                <w:rFonts w:ascii="Arial" w:hAnsi="Arial" w:cs="Arial"/>
                <w:lang w:val="en-US"/>
              </w:rPr>
              <w:t>0,087</w:t>
            </w:r>
          </w:p>
        </w:tc>
      </w:tr>
    </w:tbl>
    <w:p w:rsidR="001F34CB" w:rsidRPr="00361B76" w:rsidRDefault="001F34CB" w:rsidP="00361B76">
      <w:pPr>
        <w:spacing w:line="360" w:lineRule="auto"/>
        <w:jc w:val="both"/>
        <w:rPr>
          <w:rFonts w:ascii="Arial" w:eastAsia="Calibri" w:hAnsi="Arial" w:cs="Arial"/>
        </w:rPr>
      </w:pPr>
      <w:r w:rsidRPr="00361B76">
        <w:rPr>
          <w:rFonts w:ascii="Arial" w:hAnsi="Arial" w:cs="Arial"/>
        </w:rPr>
        <w:t>Letras mayúsculas desiguales para las medias de las interacciones difieren para p ≤0,05</w:t>
      </w:r>
      <w:r w:rsidRPr="00361B76">
        <w:rPr>
          <w:rFonts w:ascii="Arial" w:eastAsia="Calibri" w:hAnsi="Arial" w:cs="Arial"/>
        </w:rPr>
        <w:t xml:space="preserve"> según prueba de rangos múltiples de </w:t>
      </w:r>
      <w:proofErr w:type="spellStart"/>
      <w:r w:rsidRPr="00361B76">
        <w:rPr>
          <w:rFonts w:ascii="Arial" w:eastAsia="Calibri" w:hAnsi="Arial" w:cs="Arial"/>
        </w:rPr>
        <w:t>Tukey</w:t>
      </w:r>
      <w:proofErr w:type="spellEnd"/>
    </w:p>
    <w:p w:rsidR="001F34CB" w:rsidRPr="00361B76" w:rsidRDefault="001F34CB" w:rsidP="00361B76">
      <w:pPr>
        <w:spacing w:line="360" w:lineRule="auto"/>
        <w:jc w:val="both"/>
        <w:rPr>
          <w:rFonts w:ascii="Arial" w:hAnsi="Arial" w:cs="Arial"/>
        </w:rPr>
      </w:pPr>
      <w:r w:rsidRPr="00361B76">
        <w:rPr>
          <w:rFonts w:ascii="Arial" w:hAnsi="Arial" w:cs="Arial"/>
        </w:rPr>
        <w:t>Letras minúsculas desiguales en la fila para las medias de las concentraciones difieren para p≤0,05</w:t>
      </w:r>
      <w:r w:rsidRPr="00361B76">
        <w:rPr>
          <w:rFonts w:ascii="Arial" w:eastAsia="Calibri" w:hAnsi="Arial" w:cs="Arial"/>
        </w:rPr>
        <w:t xml:space="preserve"> según prueba de rangos múltiples de </w:t>
      </w:r>
      <w:proofErr w:type="spellStart"/>
      <w:r w:rsidRPr="00361B76">
        <w:rPr>
          <w:rFonts w:ascii="Arial" w:eastAsia="Calibri" w:hAnsi="Arial" w:cs="Arial"/>
        </w:rPr>
        <w:t>Tukey</w:t>
      </w:r>
      <w:proofErr w:type="spellEnd"/>
    </w:p>
    <w:p w:rsidR="001F34CB" w:rsidRPr="00361B76" w:rsidRDefault="001F34CB" w:rsidP="00361B76">
      <w:pPr>
        <w:spacing w:line="360" w:lineRule="auto"/>
        <w:jc w:val="both"/>
        <w:rPr>
          <w:rFonts w:ascii="Arial" w:eastAsia="Calibri" w:hAnsi="Arial" w:cs="Arial"/>
        </w:rPr>
      </w:pPr>
      <w:r w:rsidRPr="00361B76">
        <w:rPr>
          <w:rFonts w:ascii="Arial" w:hAnsi="Arial" w:cs="Arial"/>
        </w:rPr>
        <w:t xml:space="preserve">Letras minúsculas desiguales en la columna para las medias de las cepas difieren para p ≤0,05 </w:t>
      </w:r>
      <w:r w:rsidRPr="00361B76">
        <w:rPr>
          <w:rFonts w:ascii="Arial" w:eastAsia="Calibri" w:hAnsi="Arial" w:cs="Arial"/>
        </w:rPr>
        <w:t xml:space="preserve">según prueba de rangos múltiples de </w:t>
      </w:r>
      <w:proofErr w:type="spellStart"/>
      <w:r w:rsidRPr="00361B76">
        <w:rPr>
          <w:rFonts w:ascii="Arial" w:eastAsia="Calibri" w:hAnsi="Arial" w:cs="Arial"/>
        </w:rPr>
        <w:t>Tukey</w:t>
      </w:r>
      <w:proofErr w:type="spellEnd"/>
    </w:p>
    <w:p w:rsidR="001F34CB" w:rsidRPr="00361B76" w:rsidRDefault="001F34CB" w:rsidP="00361B76">
      <w:pPr>
        <w:spacing w:line="360" w:lineRule="auto"/>
        <w:jc w:val="both"/>
        <w:rPr>
          <w:rFonts w:ascii="Arial" w:hAnsi="Arial" w:cs="Arial"/>
          <w:lang w:val="es-US"/>
        </w:rPr>
      </w:pPr>
    </w:p>
    <w:p w:rsidR="00A702E4" w:rsidRPr="00361B76" w:rsidRDefault="00A702E4" w:rsidP="00361B76">
      <w:pPr>
        <w:autoSpaceDE w:val="0"/>
        <w:autoSpaceDN w:val="0"/>
        <w:adjustRightInd w:val="0"/>
        <w:spacing w:line="360" w:lineRule="auto"/>
        <w:jc w:val="both"/>
        <w:rPr>
          <w:rFonts w:ascii="Arial" w:eastAsiaTheme="minorHAnsi" w:hAnsi="Arial" w:cs="Arial"/>
          <w:lang w:val="es-US" w:eastAsia="en-US"/>
        </w:rPr>
      </w:pPr>
      <w:r w:rsidRPr="00361B76">
        <w:rPr>
          <w:rFonts w:ascii="Arial" w:eastAsiaTheme="minorHAnsi" w:hAnsi="Arial" w:cs="Arial"/>
          <w:lang w:val="es-US" w:eastAsia="en-US"/>
        </w:rPr>
        <w:t>Los resultados alcanzados destacan la posibilidad del empleo de los hongos entomopatógenos en el manejo de plagas que afecta</w:t>
      </w:r>
      <w:r w:rsidR="00430F92" w:rsidRPr="00361B76">
        <w:rPr>
          <w:rFonts w:ascii="Arial" w:eastAsiaTheme="minorHAnsi" w:hAnsi="Arial" w:cs="Arial"/>
          <w:lang w:val="es-US" w:eastAsia="en-US"/>
        </w:rPr>
        <w:t>n la producción de miel, pues l</w:t>
      </w:r>
      <w:r w:rsidRPr="00361B76">
        <w:rPr>
          <w:rFonts w:ascii="Arial" w:eastAsiaTheme="minorHAnsi" w:hAnsi="Arial" w:cs="Arial"/>
          <w:lang w:val="es-US" w:eastAsia="en-US"/>
        </w:rPr>
        <w:t xml:space="preserve">os valores </w:t>
      </w:r>
      <w:r w:rsidR="00082BBA" w:rsidRPr="00361B76">
        <w:rPr>
          <w:rFonts w:ascii="Arial" w:eastAsiaTheme="minorHAnsi" w:hAnsi="Arial" w:cs="Arial"/>
          <w:lang w:val="es-US" w:eastAsia="en-US"/>
        </w:rPr>
        <w:t>alcanzados</w:t>
      </w:r>
      <w:r w:rsidRPr="00361B76">
        <w:rPr>
          <w:rFonts w:ascii="Arial" w:eastAsiaTheme="minorHAnsi" w:hAnsi="Arial" w:cs="Arial"/>
          <w:lang w:val="es-US" w:eastAsia="en-US"/>
        </w:rPr>
        <w:t xml:space="preserve"> se encuentran dentro de los rangos críticos establecidos pos </w:t>
      </w:r>
      <w:r w:rsidRPr="00361B76">
        <w:rPr>
          <w:rFonts w:ascii="Arial" w:hAnsi="Arial" w:cs="Arial"/>
        </w:rPr>
        <w:t xml:space="preserve">Codex </w:t>
      </w:r>
      <w:proofErr w:type="spellStart"/>
      <w:r w:rsidRPr="00361B76">
        <w:rPr>
          <w:rFonts w:ascii="Arial" w:hAnsi="Arial" w:cs="Arial"/>
        </w:rPr>
        <w:t>Alimentarius</w:t>
      </w:r>
      <w:proofErr w:type="spellEnd"/>
      <w:r w:rsidRPr="00361B76">
        <w:rPr>
          <w:rFonts w:ascii="Arial" w:eastAsiaTheme="minorHAnsi" w:hAnsi="Arial" w:cs="Arial"/>
          <w:lang w:val="es-US" w:eastAsia="en-US"/>
        </w:rPr>
        <w:t xml:space="preserve">. </w:t>
      </w:r>
      <w:r w:rsidR="00EF4221" w:rsidRPr="00361B76">
        <w:rPr>
          <w:rFonts w:ascii="Arial" w:eastAsiaTheme="minorHAnsi" w:hAnsi="Arial" w:cs="Arial"/>
          <w:lang w:val="es-US" w:eastAsia="en-US"/>
        </w:rPr>
        <w:t>Dado que este parámetro es de gran importancia durante la extracción y el almacenamiento e in</w:t>
      </w:r>
      <w:r w:rsidRPr="00361B76">
        <w:rPr>
          <w:rFonts w:ascii="Arial" w:eastAsiaTheme="minorHAnsi" w:hAnsi="Arial" w:cs="Arial"/>
          <w:lang w:val="es-US" w:eastAsia="en-US"/>
        </w:rPr>
        <w:t>cl</w:t>
      </w:r>
      <w:r w:rsidR="00EF4221" w:rsidRPr="00361B76">
        <w:rPr>
          <w:rFonts w:ascii="Arial" w:eastAsiaTheme="minorHAnsi" w:hAnsi="Arial" w:cs="Arial"/>
          <w:lang w:val="es-US" w:eastAsia="en-US"/>
        </w:rPr>
        <w:t>uye en la textura, estabilidad y vida útil de</w:t>
      </w:r>
      <w:r w:rsidRPr="00361B76">
        <w:rPr>
          <w:rFonts w:ascii="Arial" w:eastAsiaTheme="minorHAnsi" w:hAnsi="Arial" w:cs="Arial"/>
          <w:lang w:val="es-US" w:eastAsia="en-US"/>
        </w:rPr>
        <w:t xml:space="preserve"> la miel (</w:t>
      </w:r>
      <w:proofErr w:type="spellStart"/>
      <w:r w:rsidRPr="00361B76">
        <w:rPr>
          <w:rFonts w:ascii="Arial" w:eastAsiaTheme="minorHAnsi" w:hAnsi="Arial" w:cs="Arial"/>
          <w:lang w:val="es-US" w:eastAsia="en-US"/>
        </w:rPr>
        <w:t>Terrab</w:t>
      </w:r>
      <w:proofErr w:type="spellEnd"/>
      <w:r w:rsidRPr="00361B76">
        <w:rPr>
          <w:rFonts w:ascii="Arial" w:eastAsiaTheme="minorHAnsi" w:hAnsi="Arial" w:cs="Arial"/>
          <w:lang w:val="es-US" w:eastAsia="en-US"/>
        </w:rPr>
        <w:t>, et al., 2005)</w:t>
      </w:r>
      <w:r w:rsidR="00EF4221" w:rsidRPr="00361B76">
        <w:rPr>
          <w:rFonts w:ascii="Arial" w:eastAsiaTheme="minorHAnsi" w:hAnsi="Arial" w:cs="Arial"/>
          <w:lang w:val="es-US" w:eastAsia="en-US"/>
        </w:rPr>
        <w:t xml:space="preserve">. </w:t>
      </w:r>
    </w:p>
    <w:p w:rsidR="00A23233" w:rsidRPr="00361B76" w:rsidRDefault="00A23233" w:rsidP="00361B76">
      <w:pPr>
        <w:autoSpaceDE w:val="0"/>
        <w:autoSpaceDN w:val="0"/>
        <w:adjustRightInd w:val="0"/>
        <w:spacing w:line="360" w:lineRule="auto"/>
        <w:jc w:val="both"/>
        <w:rPr>
          <w:rFonts w:ascii="Arial" w:eastAsiaTheme="minorHAnsi" w:hAnsi="Arial" w:cs="Arial"/>
          <w:lang w:val="es-US" w:eastAsia="en-US"/>
        </w:rPr>
      </w:pPr>
    </w:p>
    <w:p w:rsidR="00A23233" w:rsidRPr="00361B76" w:rsidRDefault="00A23233" w:rsidP="00361B76">
      <w:pPr>
        <w:autoSpaceDE w:val="0"/>
        <w:autoSpaceDN w:val="0"/>
        <w:adjustRightInd w:val="0"/>
        <w:spacing w:line="360" w:lineRule="auto"/>
        <w:jc w:val="both"/>
        <w:rPr>
          <w:rFonts w:ascii="Arial" w:eastAsiaTheme="minorHAnsi" w:hAnsi="Arial" w:cs="Arial"/>
          <w:lang w:val="es-US" w:eastAsia="en-US"/>
        </w:rPr>
      </w:pPr>
      <w:r w:rsidRPr="00361B76">
        <w:rPr>
          <w:rFonts w:ascii="Arial" w:eastAsiaTheme="minorHAnsi" w:hAnsi="Arial" w:cs="Arial"/>
          <w:lang w:val="es-US" w:eastAsia="en-US"/>
        </w:rPr>
        <w:t>La acidez es un importante criterio de calidad.</w:t>
      </w:r>
      <w:r w:rsidR="00082BBA" w:rsidRPr="00361B76">
        <w:rPr>
          <w:rFonts w:ascii="Arial" w:eastAsiaTheme="minorHAnsi" w:hAnsi="Arial" w:cs="Arial"/>
          <w:lang w:val="es-US" w:eastAsia="en-US"/>
        </w:rPr>
        <w:t xml:space="preserve"> </w:t>
      </w:r>
      <w:r w:rsidRPr="00361B76">
        <w:rPr>
          <w:rFonts w:ascii="Arial" w:eastAsiaTheme="minorHAnsi" w:hAnsi="Arial" w:cs="Arial"/>
          <w:lang w:val="es-US" w:eastAsia="en-US"/>
        </w:rPr>
        <w:t xml:space="preserve">La fermentación de la miel causa un incremento de acidez; por ello, si bien existe una considerable variación natural, resulta útil fijar un máximo de acidez como requisito. El límite máximo de acidez de 40 </w:t>
      </w:r>
      <w:proofErr w:type="spellStart"/>
      <w:r w:rsidRPr="00361B76">
        <w:rPr>
          <w:rFonts w:ascii="Arial" w:eastAsiaTheme="minorHAnsi" w:hAnsi="Arial" w:cs="Arial"/>
          <w:lang w:val="es-US" w:eastAsia="en-US"/>
        </w:rPr>
        <w:t>miliequivalentes</w:t>
      </w:r>
      <w:proofErr w:type="spellEnd"/>
      <w:r w:rsidRPr="00361B76">
        <w:rPr>
          <w:rFonts w:ascii="Arial" w:eastAsiaTheme="minorHAnsi" w:hAnsi="Arial" w:cs="Arial"/>
          <w:lang w:val="es-US" w:eastAsia="en-US"/>
        </w:rPr>
        <w:t xml:space="preserve">/kg miel ha sido incrementado a 50 </w:t>
      </w:r>
      <w:proofErr w:type="spellStart"/>
      <w:r w:rsidRPr="00361B76">
        <w:rPr>
          <w:rFonts w:ascii="Arial" w:eastAsiaTheme="minorHAnsi" w:hAnsi="Arial" w:cs="Arial"/>
          <w:lang w:val="es-US" w:eastAsia="en-US"/>
        </w:rPr>
        <w:t>miliequivalentes</w:t>
      </w:r>
      <w:proofErr w:type="spellEnd"/>
      <w:r w:rsidRPr="00361B76">
        <w:rPr>
          <w:rFonts w:ascii="Arial" w:eastAsiaTheme="minorHAnsi" w:hAnsi="Arial" w:cs="Arial"/>
          <w:lang w:val="es-US" w:eastAsia="en-US"/>
        </w:rPr>
        <w:t>/kg en el borrador del Codex porque existen mieles con una acidez natural más elevada (10)</w:t>
      </w:r>
      <w:r w:rsidR="00200C0D" w:rsidRPr="00361B76">
        <w:rPr>
          <w:rFonts w:ascii="Arial" w:eastAsiaTheme="minorHAnsi" w:hAnsi="Arial" w:cs="Arial"/>
          <w:lang w:val="es-US" w:eastAsia="en-US"/>
        </w:rPr>
        <w:t xml:space="preserve"> (Pineda et al., </w:t>
      </w:r>
      <w:r w:rsidRPr="00361B76">
        <w:rPr>
          <w:rFonts w:ascii="Arial" w:eastAsiaTheme="minorHAnsi" w:hAnsi="Arial" w:cs="Arial"/>
          <w:lang w:val="es-US" w:eastAsia="en-US"/>
        </w:rPr>
        <w:t>2019).</w:t>
      </w:r>
    </w:p>
    <w:p w:rsidR="00A23233" w:rsidRPr="00361B76" w:rsidRDefault="00A23233" w:rsidP="00361B76">
      <w:pPr>
        <w:autoSpaceDE w:val="0"/>
        <w:autoSpaceDN w:val="0"/>
        <w:adjustRightInd w:val="0"/>
        <w:spacing w:line="360" w:lineRule="auto"/>
        <w:jc w:val="both"/>
        <w:rPr>
          <w:rFonts w:ascii="Arial" w:eastAsiaTheme="minorHAnsi" w:hAnsi="Arial" w:cs="Arial"/>
          <w:lang w:val="es-US" w:eastAsia="en-US"/>
        </w:rPr>
      </w:pPr>
    </w:p>
    <w:p w:rsidR="00A702E4" w:rsidRDefault="00EF4221" w:rsidP="00361B76">
      <w:pPr>
        <w:autoSpaceDE w:val="0"/>
        <w:autoSpaceDN w:val="0"/>
        <w:adjustRightInd w:val="0"/>
        <w:spacing w:line="360" w:lineRule="auto"/>
        <w:jc w:val="both"/>
        <w:rPr>
          <w:rFonts w:ascii="Arial" w:eastAsiaTheme="minorHAnsi" w:hAnsi="Arial" w:cs="Arial"/>
          <w:lang w:val="es-US" w:eastAsia="en-US"/>
        </w:rPr>
      </w:pPr>
      <w:r w:rsidRPr="00361B76">
        <w:rPr>
          <w:rFonts w:ascii="Arial" w:eastAsiaTheme="minorHAnsi" w:hAnsi="Arial" w:cs="Arial"/>
          <w:lang w:val="es-US" w:eastAsia="en-US"/>
        </w:rPr>
        <w:lastRenderedPageBreak/>
        <w:t>La alta presencia de granos de polen también apoya este supuesto. Por otro lado, la estabilidad de la miel depende también de la proliferación de microorganismos, ya que levaduras y mohos son capaces de desarrollarse en ambientes ácidos (pH = 4.0-4.5)</w:t>
      </w:r>
      <w:r w:rsidR="00A702E4" w:rsidRPr="00361B76">
        <w:rPr>
          <w:rFonts w:ascii="Arial" w:eastAsiaTheme="minorHAnsi" w:hAnsi="Arial" w:cs="Arial"/>
          <w:lang w:val="es-US" w:eastAsia="en-US"/>
        </w:rPr>
        <w:t>, por lo que la ausencia casi total de estos organismos o de sus esporas reafirman la idea de unas muestras estables</w:t>
      </w:r>
      <w:r w:rsidR="008A3823" w:rsidRPr="00361B76">
        <w:rPr>
          <w:rFonts w:ascii="Arial" w:eastAsiaTheme="minorHAnsi" w:hAnsi="Arial" w:cs="Arial"/>
          <w:lang w:val="es-US" w:eastAsia="en-US"/>
        </w:rPr>
        <w:t xml:space="preserve"> Velázquez et al. (2019)</w:t>
      </w:r>
      <w:r w:rsidR="00A702E4" w:rsidRPr="00361B76">
        <w:rPr>
          <w:rFonts w:ascii="Arial" w:eastAsiaTheme="minorHAnsi" w:hAnsi="Arial" w:cs="Arial"/>
          <w:lang w:val="es-US" w:eastAsia="en-US"/>
        </w:rPr>
        <w:t xml:space="preserve">. </w:t>
      </w:r>
    </w:p>
    <w:p w:rsidR="00301AE6" w:rsidRDefault="00301AE6" w:rsidP="00361B76">
      <w:pPr>
        <w:autoSpaceDE w:val="0"/>
        <w:autoSpaceDN w:val="0"/>
        <w:adjustRightInd w:val="0"/>
        <w:spacing w:line="360" w:lineRule="auto"/>
        <w:jc w:val="both"/>
        <w:rPr>
          <w:rFonts w:ascii="Arial" w:eastAsiaTheme="minorHAnsi" w:hAnsi="Arial" w:cs="Arial"/>
          <w:lang w:val="es-US" w:eastAsia="en-US"/>
        </w:rPr>
      </w:pPr>
    </w:p>
    <w:p w:rsidR="006C0AE7" w:rsidRDefault="00301AE6" w:rsidP="00301AE6">
      <w:pPr>
        <w:autoSpaceDE w:val="0"/>
        <w:autoSpaceDN w:val="0"/>
        <w:adjustRightInd w:val="0"/>
        <w:spacing w:line="360" w:lineRule="auto"/>
        <w:jc w:val="both"/>
        <w:rPr>
          <w:rFonts w:ascii="Arial" w:eastAsiaTheme="minorHAnsi" w:hAnsi="Arial" w:cs="Arial"/>
          <w:lang w:val="es-US" w:eastAsia="en-US"/>
        </w:rPr>
      </w:pPr>
      <w:r w:rsidRPr="00301AE6">
        <w:rPr>
          <w:rFonts w:ascii="Arial" w:eastAsiaTheme="minorHAnsi" w:hAnsi="Arial" w:cs="Arial"/>
          <w:lang w:val="es-US" w:eastAsia="en-US"/>
        </w:rPr>
        <w:t>Los valores promedio de azucares reductores, en las mieles</w:t>
      </w:r>
      <w:r w:rsidR="006C0AE7">
        <w:rPr>
          <w:rFonts w:ascii="Arial" w:eastAsiaTheme="minorHAnsi" w:hAnsi="Arial" w:cs="Arial"/>
          <w:lang w:val="es-US" w:eastAsia="en-US"/>
        </w:rPr>
        <w:t xml:space="preserve"> se muestran en la tabla 5, donde se observa que todos los valores alcanzados </w:t>
      </w:r>
      <w:r w:rsidRPr="00301AE6">
        <w:rPr>
          <w:rFonts w:ascii="Arial" w:eastAsiaTheme="minorHAnsi" w:hAnsi="Arial" w:cs="Arial"/>
          <w:lang w:val="es-US" w:eastAsia="en-US"/>
        </w:rPr>
        <w:t xml:space="preserve">fueron </w:t>
      </w:r>
      <w:r w:rsidR="006C0AE7">
        <w:rPr>
          <w:rFonts w:ascii="Arial" w:eastAsiaTheme="minorHAnsi" w:hAnsi="Arial" w:cs="Arial"/>
          <w:lang w:val="es-US" w:eastAsia="en-US"/>
        </w:rPr>
        <w:t>de</w:t>
      </w:r>
      <w:r w:rsidRPr="00301AE6">
        <w:rPr>
          <w:rFonts w:ascii="Arial" w:eastAsiaTheme="minorHAnsi" w:hAnsi="Arial" w:cs="Arial"/>
          <w:lang w:val="es-US" w:eastAsia="en-US"/>
        </w:rPr>
        <w:t xml:space="preserve"> acuerdo con los estándares del Codex </w:t>
      </w:r>
      <w:proofErr w:type="spellStart"/>
      <w:r w:rsidRPr="00301AE6">
        <w:rPr>
          <w:rFonts w:ascii="Arial" w:eastAsiaTheme="minorHAnsi" w:hAnsi="Arial" w:cs="Arial"/>
          <w:lang w:val="es-US" w:eastAsia="en-US"/>
        </w:rPr>
        <w:t>Alimentarius</w:t>
      </w:r>
      <w:proofErr w:type="spellEnd"/>
      <w:r w:rsidRPr="00301AE6">
        <w:rPr>
          <w:rFonts w:ascii="Arial" w:eastAsiaTheme="minorHAnsi" w:hAnsi="Arial" w:cs="Arial"/>
          <w:lang w:val="es-US" w:eastAsia="en-US"/>
        </w:rPr>
        <w:t xml:space="preserve"> </w:t>
      </w:r>
      <w:proofErr w:type="spellStart"/>
      <w:r w:rsidRPr="00301AE6">
        <w:rPr>
          <w:rFonts w:ascii="Arial" w:eastAsiaTheme="minorHAnsi" w:hAnsi="Arial" w:cs="Arial"/>
          <w:lang w:val="es-US" w:eastAsia="en-US"/>
        </w:rPr>
        <w:t>Commission</w:t>
      </w:r>
      <w:proofErr w:type="spellEnd"/>
      <w:r w:rsidRPr="00301AE6">
        <w:rPr>
          <w:rFonts w:ascii="Arial" w:eastAsiaTheme="minorHAnsi" w:hAnsi="Arial" w:cs="Arial"/>
          <w:lang w:val="es-US" w:eastAsia="en-US"/>
        </w:rPr>
        <w:t xml:space="preserve"> (2001)</w:t>
      </w:r>
      <w:r>
        <w:rPr>
          <w:rFonts w:ascii="Arial" w:eastAsiaTheme="minorHAnsi" w:hAnsi="Arial" w:cs="Arial"/>
          <w:lang w:val="es-US" w:eastAsia="en-US"/>
        </w:rPr>
        <w:t>,</w:t>
      </w:r>
      <w:r w:rsidRPr="00301AE6">
        <w:rPr>
          <w:rFonts w:ascii="Arial" w:eastAsiaTheme="minorHAnsi" w:hAnsi="Arial" w:cs="Arial"/>
          <w:lang w:val="es-US" w:eastAsia="en-US"/>
        </w:rPr>
        <w:t xml:space="preserve"> </w:t>
      </w:r>
      <w:r w:rsidR="006C0AE7">
        <w:rPr>
          <w:rFonts w:ascii="Arial" w:eastAsiaTheme="minorHAnsi" w:hAnsi="Arial" w:cs="Arial"/>
          <w:lang w:val="es-US" w:eastAsia="en-US"/>
        </w:rPr>
        <w:t xml:space="preserve">ya que </w:t>
      </w:r>
      <w:r w:rsidRPr="00301AE6">
        <w:rPr>
          <w:rFonts w:ascii="Arial" w:eastAsiaTheme="minorHAnsi" w:hAnsi="Arial" w:cs="Arial"/>
          <w:lang w:val="es-US" w:eastAsia="en-US"/>
        </w:rPr>
        <w:t xml:space="preserve">la cantidad mínima de azucares reductores en miel </w:t>
      </w:r>
      <w:r w:rsidR="006C0AE7">
        <w:rPr>
          <w:rFonts w:ascii="Arial" w:eastAsiaTheme="minorHAnsi" w:hAnsi="Arial" w:cs="Arial"/>
          <w:lang w:val="es-US" w:eastAsia="en-US"/>
        </w:rPr>
        <w:t xml:space="preserve">es del 60% y como se muestra en la tabla el valor más bajo lo alcanzó la concentración 2,36 </w:t>
      </w:r>
      <w:r w:rsidR="006C0AE7" w:rsidRPr="00361B76">
        <w:rPr>
          <w:rFonts w:ascii="Arial" w:hAnsi="Arial" w:cs="Arial"/>
        </w:rPr>
        <w:t>x10</w:t>
      </w:r>
      <w:r w:rsidR="006C0AE7" w:rsidRPr="00361B76">
        <w:rPr>
          <w:rFonts w:ascii="Arial" w:hAnsi="Arial" w:cs="Arial"/>
          <w:vertAlign w:val="superscript"/>
        </w:rPr>
        <w:t>5</w:t>
      </w:r>
      <w:r w:rsidR="006C0AE7">
        <w:rPr>
          <w:rFonts w:ascii="Arial" w:hAnsi="Arial" w:cs="Arial"/>
          <w:vertAlign w:val="superscript"/>
        </w:rPr>
        <w:t xml:space="preserve"> </w:t>
      </w:r>
      <w:r w:rsidR="006C0AE7">
        <w:rPr>
          <w:rFonts w:ascii="Arial" w:hAnsi="Arial" w:cs="Arial"/>
        </w:rPr>
        <w:t xml:space="preserve">con </w:t>
      </w:r>
      <w:r w:rsidR="006C0AE7">
        <w:rPr>
          <w:rFonts w:ascii="Arial" w:eastAsiaTheme="minorHAnsi" w:hAnsi="Arial" w:cs="Arial"/>
          <w:lang w:val="es-US" w:eastAsia="en-US"/>
        </w:rPr>
        <w:t xml:space="preserve">65,98% en la cepa </w:t>
      </w:r>
      <w:r w:rsidR="006C0AE7" w:rsidRPr="00361B76">
        <w:rPr>
          <w:rFonts w:ascii="Arial" w:hAnsi="Arial" w:cs="Arial"/>
          <w:lang w:val="x-none"/>
        </w:rPr>
        <w:t>OMRI-listeo®</w:t>
      </w:r>
      <w:r w:rsidR="006C0AE7">
        <w:rPr>
          <w:rFonts w:ascii="Arial" w:hAnsi="Arial" w:cs="Arial"/>
          <w:lang w:val="es-ES"/>
        </w:rPr>
        <w:t xml:space="preserve"> </w:t>
      </w:r>
      <w:r w:rsidR="006C0AE7">
        <w:rPr>
          <w:rFonts w:ascii="Arial" w:eastAsiaTheme="minorHAnsi" w:hAnsi="Arial" w:cs="Arial"/>
          <w:lang w:val="es-US" w:eastAsia="en-US"/>
        </w:rPr>
        <w:t xml:space="preserve">y 64,04% en la LBb-111. El </w:t>
      </w:r>
      <w:r w:rsidR="00EC0289">
        <w:rPr>
          <w:rFonts w:ascii="Arial" w:eastAsiaTheme="minorHAnsi" w:hAnsi="Arial" w:cs="Arial"/>
          <w:lang w:val="es-US" w:eastAsia="en-US"/>
        </w:rPr>
        <w:t>valor más alto</w:t>
      </w:r>
      <w:r w:rsidR="006C0AE7">
        <w:rPr>
          <w:rFonts w:ascii="Arial" w:eastAsiaTheme="minorHAnsi" w:hAnsi="Arial" w:cs="Arial"/>
          <w:lang w:val="es-US" w:eastAsia="en-US"/>
        </w:rPr>
        <w:t xml:space="preserve"> en el contenido de azucares lo obtuvo la concentración de </w:t>
      </w:r>
      <w:r w:rsidR="006C0AE7">
        <w:rPr>
          <w:rFonts w:ascii="Arial" w:hAnsi="Arial" w:cs="Arial"/>
        </w:rPr>
        <w:t>2,36x</w:t>
      </w:r>
      <w:r w:rsidR="006C0AE7" w:rsidRPr="00361B76">
        <w:rPr>
          <w:rFonts w:ascii="Arial" w:hAnsi="Arial" w:cs="Arial"/>
        </w:rPr>
        <w:t>10</w:t>
      </w:r>
      <w:r w:rsidR="006C0AE7">
        <w:rPr>
          <w:rFonts w:ascii="Arial" w:hAnsi="Arial" w:cs="Arial"/>
          <w:vertAlign w:val="superscript"/>
        </w:rPr>
        <w:t xml:space="preserve">8 </w:t>
      </w:r>
      <w:r w:rsidR="006C0AE7">
        <w:rPr>
          <w:rFonts w:ascii="Arial" w:hAnsi="Arial" w:cs="Arial"/>
        </w:rPr>
        <w:t xml:space="preserve">y la cepa </w:t>
      </w:r>
      <w:r w:rsidR="006C0AE7" w:rsidRPr="00361B76">
        <w:rPr>
          <w:rFonts w:ascii="Arial" w:hAnsi="Arial" w:cs="Arial"/>
          <w:lang w:val="x-none"/>
        </w:rPr>
        <w:t>OMRI-listeo®</w:t>
      </w:r>
      <w:r w:rsidR="006C0AE7">
        <w:rPr>
          <w:rFonts w:ascii="Arial" w:hAnsi="Arial" w:cs="Arial"/>
          <w:lang w:val="es-ES"/>
        </w:rPr>
        <w:t xml:space="preserve"> de un </w:t>
      </w:r>
      <w:r w:rsidR="00580CE6">
        <w:rPr>
          <w:rFonts w:ascii="Arial" w:hAnsi="Arial" w:cs="Arial"/>
          <w:lang w:val="es-ES"/>
        </w:rPr>
        <w:t>79,63%</w:t>
      </w:r>
      <w:r w:rsidR="006C0AE7">
        <w:rPr>
          <w:rFonts w:ascii="Arial" w:hAnsi="Arial" w:cs="Arial"/>
        </w:rPr>
        <w:t xml:space="preserve"> </w:t>
      </w:r>
      <w:r w:rsidR="006C0AE7">
        <w:rPr>
          <w:rFonts w:ascii="Arial" w:eastAsiaTheme="minorHAnsi" w:hAnsi="Arial" w:cs="Arial"/>
          <w:lang w:val="es-US" w:eastAsia="en-US"/>
        </w:rPr>
        <w:t xml:space="preserve"> </w:t>
      </w:r>
    </w:p>
    <w:p w:rsidR="006C0AE7" w:rsidRDefault="006C0AE7" w:rsidP="00301AE6">
      <w:pPr>
        <w:autoSpaceDE w:val="0"/>
        <w:autoSpaceDN w:val="0"/>
        <w:adjustRightInd w:val="0"/>
        <w:spacing w:line="360" w:lineRule="auto"/>
        <w:jc w:val="both"/>
        <w:rPr>
          <w:rFonts w:ascii="Arial" w:eastAsiaTheme="minorHAnsi" w:hAnsi="Arial" w:cs="Arial"/>
          <w:lang w:val="es-US" w:eastAsia="en-US"/>
        </w:rPr>
      </w:pPr>
    </w:p>
    <w:p w:rsidR="00301AE6" w:rsidRPr="00301AE6" w:rsidRDefault="00EC0289" w:rsidP="00301AE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 xml:space="preserve">Se observa en la tabla 5 además que es la cepa LBb-111 quien mantiene los valores casi estáticos y este es el resultado que se espera con el empleo de los entomopatógenos, </w:t>
      </w:r>
      <w:r>
        <w:rPr>
          <w:rFonts w:ascii="Arial" w:eastAsiaTheme="minorHAnsi" w:hAnsi="Arial" w:cs="Arial"/>
          <w:lang w:val="es-US" w:eastAsia="en-US"/>
        </w:rPr>
        <w:t>coincidiendo con el reportado por</w:t>
      </w:r>
      <w:r w:rsidRPr="00301AE6">
        <w:rPr>
          <w:rFonts w:ascii="Arial" w:eastAsiaTheme="minorHAnsi" w:hAnsi="Arial" w:cs="Arial"/>
          <w:lang w:val="es-US" w:eastAsia="en-US"/>
        </w:rPr>
        <w:t xml:space="preserve"> Velásquez (2013)</w:t>
      </w:r>
      <w:r>
        <w:rPr>
          <w:rFonts w:ascii="Arial" w:eastAsiaTheme="minorHAnsi" w:hAnsi="Arial" w:cs="Arial"/>
          <w:lang w:val="es-US" w:eastAsia="en-US"/>
        </w:rPr>
        <w:t>, quien afirma que e</w:t>
      </w:r>
      <w:r w:rsidR="00301AE6" w:rsidRPr="00301AE6">
        <w:rPr>
          <w:rFonts w:ascii="Arial" w:eastAsiaTheme="minorHAnsi" w:hAnsi="Arial" w:cs="Arial"/>
          <w:lang w:val="es-US" w:eastAsia="en-US"/>
        </w:rPr>
        <w:t>l contenido de monosacáridos en la miel típicamente varía entre el 65 y el 80% de los sólidos solubles totales de la miel; de ellos la fructosa y la glucosa representan un 38 y 31 %, respectivamente y, son los carbohidratos reduc</w:t>
      </w:r>
      <w:r>
        <w:rPr>
          <w:rFonts w:ascii="Arial" w:eastAsiaTheme="minorHAnsi" w:hAnsi="Arial" w:cs="Arial"/>
          <w:lang w:val="es-US" w:eastAsia="en-US"/>
        </w:rPr>
        <w:t>tores más abundantes en la miel</w:t>
      </w:r>
      <w:r w:rsidR="00301AE6" w:rsidRPr="00301AE6">
        <w:rPr>
          <w:rFonts w:ascii="Arial" w:eastAsiaTheme="minorHAnsi" w:hAnsi="Arial" w:cs="Arial"/>
          <w:lang w:val="es-US" w:eastAsia="en-US"/>
        </w:rPr>
        <w:t>.</w:t>
      </w:r>
    </w:p>
    <w:p w:rsidR="00301AE6" w:rsidRDefault="00301AE6" w:rsidP="00361B76">
      <w:pPr>
        <w:autoSpaceDE w:val="0"/>
        <w:autoSpaceDN w:val="0"/>
        <w:adjustRightInd w:val="0"/>
        <w:spacing w:line="360" w:lineRule="auto"/>
        <w:jc w:val="both"/>
        <w:rPr>
          <w:rFonts w:ascii="Arial" w:eastAsiaTheme="minorHAnsi" w:hAnsi="Arial" w:cs="Arial"/>
          <w:lang w:val="es-US" w:eastAsia="en-US"/>
        </w:rPr>
      </w:pPr>
    </w:p>
    <w:p w:rsidR="00301AE6" w:rsidRDefault="00301AE6" w:rsidP="00C56EC4">
      <w:pPr>
        <w:autoSpaceDE w:val="0"/>
        <w:autoSpaceDN w:val="0"/>
        <w:adjustRightInd w:val="0"/>
        <w:spacing w:line="360" w:lineRule="auto"/>
        <w:jc w:val="center"/>
        <w:rPr>
          <w:rFonts w:ascii="Arial" w:eastAsiaTheme="minorHAnsi" w:hAnsi="Arial" w:cs="Arial"/>
          <w:lang w:val="es-US" w:eastAsia="en-US"/>
        </w:rPr>
      </w:pPr>
      <w:r>
        <w:rPr>
          <w:rFonts w:ascii="Arial" w:eastAsiaTheme="minorHAnsi" w:hAnsi="Arial" w:cs="Arial"/>
          <w:lang w:val="es-US" w:eastAsia="en-US"/>
        </w:rPr>
        <w:t xml:space="preserve">Tabla 5. </w:t>
      </w:r>
      <w:r w:rsidR="00C56EC4">
        <w:rPr>
          <w:rFonts w:ascii="Arial" w:eastAsiaTheme="minorHAnsi" w:hAnsi="Arial" w:cs="Arial"/>
          <w:lang w:val="es-US" w:eastAsia="en-US"/>
        </w:rPr>
        <w:t>Promedio del c</w:t>
      </w:r>
      <w:r>
        <w:rPr>
          <w:rFonts w:ascii="Arial" w:eastAsiaTheme="minorHAnsi" w:hAnsi="Arial" w:cs="Arial"/>
          <w:lang w:val="es-US" w:eastAsia="en-US"/>
        </w:rPr>
        <w:t>ontenido de azucares reductores</w:t>
      </w:r>
      <w:r w:rsidR="00C56EC4">
        <w:rPr>
          <w:rFonts w:ascii="Arial" w:eastAsiaTheme="minorHAnsi" w:hAnsi="Arial" w:cs="Arial"/>
          <w:lang w:val="es-US" w:eastAsia="en-US"/>
        </w:rPr>
        <w:t xml:space="preserve"> en las 5 evaluaciones</w:t>
      </w:r>
    </w:p>
    <w:tbl>
      <w:tblPr>
        <w:tblStyle w:val="Tablaconcuadrcula"/>
        <w:tblW w:w="7744" w:type="dxa"/>
        <w:jc w:val="center"/>
        <w:tblLook w:val="04A0" w:firstRow="1" w:lastRow="0" w:firstColumn="1" w:lastColumn="0" w:noHBand="0" w:noVBand="1"/>
      </w:tblPr>
      <w:tblGrid>
        <w:gridCol w:w="2018"/>
        <w:gridCol w:w="936"/>
        <w:gridCol w:w="977"/>
        <w:gridCol w:w="950"/>
        <w:gridCol w:w="936"/>
        <w:gridCol w:w="977"/>
        <w:gridCol w:w="950"/>
      </w:tblGrid>
      <w:tr w:rsidR="00B53C52" w:rsidTr="00C56EC4">
        <w:trPr>
          <w:jc w:val="center"/>
        </w:trPr>
        <w:tc>
          <w:tcPr>
            <w:tcW w:w="2018" w:type="dxa"/>
            <w:vMerge w:val="restart"/>
          </w:tcPr>
          <w:p w:rsidR="00B53C52" w:rsidRDefault="00B53C52" w:rsidP="00B53C52">
            <w:pPr>
              <w:autoSpaceDE w:val="0"/>
              <w:autoSpaceDN w:val="0"/>
              <w:adjustRightInd w:val="0"/>
              <w:spacing w:line="360" w:lineRule="auto"/>
              <w:jc w:val="center"/>
              <w:rPr>
                <w:rFonts w:ascii="Arial" w:eastAsiaTheme="minorHAnsi" w:hAnsi="Arial" w:cs="Arial"/>
                <w:lang w:val="es-US" w:eastAsia="en-US"/>
              </w:rPr>
            </w:pPr>
          </w:p>
          <w:p w:rsidR="00B53C52" w:rsidRDefault="00B53C52" w:rsidP="00B53C52">
            <w:pPr>
              <w:autoSpaceDE w:val="0"/>
              <w:autoSpaceDN w:val="0"/>
              <w:adjustRightInd w:val="0"/>
              <w:spacing w:line="360" w:lineRule="auto"/>
              <w:jc w:val="center"/>
              <w:rPr>
                <w:rFonts w:ascii="Arial" w:eastAsiaTheme="minorHAnsi" w:hAnsi="Arial" w:cs="Arial"/>
                <w:lang w:val="es-US" w:eastAsia="en-US"/>
              </w:rPr>
            </w:pPr>
            <w:r>
              <w:rPr>
                <w:rFonts w:ascii="Arial" w:eastAsiaTheme="minorHAnsi" w:hAnsi="Arial" w:cs="Arial"/>
                <w:lang w:val="es-US" w:eastAsia="en-US"/>
              </w:rPr>
              <w:t xml:space="preserve">Concentraciones </w:t>
            </w:r>
          </w:p>
        </w:tc>
        <w:tc>
          <w:tcPr>
            <w:tcW w:w="2863" w:type="dxa"/>
            <w:gridSpan w:val="3"/>
          </w:tcPr>
          <w:p w:rsidR="00B53C52" w:rsidRDefault="00B53C52" w:rsidP="00B53C52">
            <w:pPr>
              <w:autoSpaceDE w:val="0"/>
              <w:autoSpaceDN w:val="0"/>
              <w:adjustRightInd w:val="0"/>
              <w:spacing w:line="360" w:lineRule="auto"/>
              <w:jc w:val="center"/>
              <w:rPr>
                <w:rFonts w:ascii="Arial" w:eastAsiaTheme="minorHAnsi" w:hAnsi="Arial" w:cs="Arial"/>
                <w:lang w:val="es-US" w:eastAsia="en-US"/>
              </w:rPr>
            </w:pPr>
            <w:r w:rsidRPr="00361B76">
              <w:rPr>
                <w:rFonts w:ascii="Arial" w:hAnsi="Arial" w:cs="Arial"/>
                <w:lang w:val="x-none"/>
              </w:rPr>
              <w:t>OMRI-listeo®</w:t>
            </w:r>
          </w:p>
        </w:tc>
        <w:tc>
          <w:tcPr>
            <w:tcW w:w="2863" w:type="dxa"/>
            <w:gridSpan w:val="3"/>
          </w:tcPr>
          <w:p w:rsidR="00B53C52" w:rsidRDefault="00B53C52" w:rsidP="00B53C52">
            <w:pPr>
              <w:autoSpaceDE w:val="0"/>
              <w:autoSpaceDN w:val="0"/>
              <w:adjustRightInd w:val="0"/>
              <w:spacing w:line="360" w:lineRule="auto"/>
              <w:jc w:val="center"/>
              <w:rPr>
                <w:rFonts w:ascii="Arial" w:eastAsiaTheme="minorHAnsi" w:hAnsi="Arial" w:cs="Arial"/>
                <w:lang w:val="es-US" w:eastAsia="en-US"/>
              </w:rPr>
            </w:pPr>
            <w:r w:rsidRPr="00361B76">
              <w:rPr>
                <w:rFonts w:ascii="Arial" w:hAnsi="Arial" w:cs="Arial"/>
                <w:lang w:val="en-US"/>
              </w:rPr>
              <w:t>LBb</w:t>
            </w:r>
            <w:r>
              <w:rPr>
                <w:rFonts w:ascii="Arial" w:hAnsi="Arial" w:cs="Arial"/>
                <w:lang w:val="en-US"/>
              </w:rPr>
              <w:t>-</w:t>
            </w:r>
            <w:r w:rsidRPr="00361B76">
              <w:rPr>
                <w:rFonts w:ascii="Arial" w:hAnsi="Arial" w:cs="Arial"/>
                <w:lang w:val="en-US"/>
              </w:rPr>
              <w:t>111</w:t>
            </w:r>
          </w:p>
        </w:tc>
      </w:tr>
      <w:tr w:rsidR="00B53C52" w:rsidTr="00C56EC4">
        <w:trPr>
          <w:jc w:val="center"/>
        </w:trPr>
        <w:tc>
          <w:tcPr>
            <w:tcW w:w="2018" w:type="dxa"/>
            <w:vMerge/>
          </w:tcPr>
          <w:p w:rsidR="00B53C52" w:rsidRDefault="00B53C52" w:rsidP="00B53C52">
            <w:pPr>
              <w:autoSpaceDE w:val="0"/>
              <w:autoSpaceDN w:val="0"/>
              <w:adjustRightInd w:val="0"/>
              <w:spacing w:line="360" w:lineRule="auto"/>
              <w:jc w:val="both"/>
              <w:rPr>
                <w:rFonts w:ascii="Arial" w:eastAsiaTheme="minorHAnsi" w:hAnsi="Arial" w:cs="Arial"/>
                <w:lang w:val="es-US" w:eastAsia="en-US"/>
              </w:rPr>
            </w:pPr>
          </w:p>
        </w:tc>
        <w:tc>
          <w:tcPr>
            <w:tcW w:w="936" w:type="dxa"/>
          </w:tcPr>
          <w:p w:rsidR="00B53C52" w:rsidRDefault="00B53C52" w:rsidP="00B53C52">
            <w:pPr>
              <w:autoSpaceDE w:val="0"/>
              <w:autoSpaceDN w:val="0"/>
              <w:adjustRightInd w:val="0"/>
              <w:spacing w:line="360" w:lineRule="auto"/>
              <w:jc w:val="center"/>
              <w:rPr>
                <w:rFonts w:ascii="Arial" w:eastAsiaTheme="minorHAnsi" w:hAnsi="Arial" w:cs="Arial"/>
                <w:lang w:val="es-US" w:eastAsia="en-US"/>
              </w:rPr>
            </w:pPr>
            <w:r>
              <w:rPr>
                <w:rFonts w:ascii="Arial" w:hAnsi="Arial" w:cs="Arial"/>
                <w:lang w:val="es-US"/>
              </w:rPr>
              <w:t>(F) %</w:t>
            </w:r>
          </w:p>
        </w:tc>
        <w:tc>
          <w:tcPr>
            <w:tcW w:w="977" w:type="dxa"/>
          </w:tcPr>
          <w:p w:rsidR="00B53C52" w:rsidRDefault="00B53C52" w:rsidP="00B53C52">
            <w:pPr>
              <w:autoSpaceDE w:val="0"/>
              <w:autoSpaceDN w:val="0"/>
              <w:adjustRightInd w:val="0"/>
              <w:spacing w:line="360" w:lineRule="auto"/>
              <w:jc w:val="center"/>
              <w:rPr>
                <w:rFonts w:ascii="Arial" w:eastAsiaTheme="minorHAnsi" w:hAnsi="Arial" w:cs="Arial"/>
                <w:lang w:val="es-US" w:eastAsia="en-US"/>
              </w:rPr>
            </w:pPr>
            <w:r>
              <w:rPr>
                <w:rFonts w:ascii="Arial" w:hAnsi="Arial" w:cs="Arial"/>
                <w:lang w:val="es-US"/>
              </w:rPr>
              <w:t>G (%)</w:t>
            </w:r>
          </w:p>
        </w:tc>
        <w:tc>
          <w:tcPr>
            <w:tcW w:w="950" w:type="dxa"/>
          </w:tcPr>
          <w:p w:rsidR="00B53C52" w:rsidRDefault="00B53C52" w:rsidP="00B53C52">
            <w:pPr>
              <w:autoSpaceDE w:val="0"/>
              <w:autoSpaceDN w:val="0"/>
              <w:adjustRightInd w:val="0"/>
              <w:spacing w:line="360" w:lineRule="auto"/>
              <w:jc w:val="center"/>
              <w:rPr>
                <w:rFonts w:ascii="Arial" w:eastAsiaTheme="minorHAnsi" w:hAnsi="Arial" w:cs="Arial"/>
                <w:lang w:val="es-US" w:eastAsia="en-US"/>
              </w:rPr>
            </w:pPr>
            <w:r>
              <w:rPr>
                <w:rFonts w:ascii="Arial" w:eastAsiaTheme="minorHAnsi" w:hAnsi="Arial" w:cs="Arial"/>
                <w:lang w:val="es-US" w:eastAsia="en-US"/>
              </w:rPr>
              <w:t>S (%)</w:t>
            </w:r>
          </w:p>
        </w:tc>
        <w:tc>
          <w:tcPr>
            <w:tcW w:w="936" w:type="dxa"/>
          </w:tcPr>
          <w:p w:rsidR="00B53C52" w:rsidRDefault="00B53C52" w:rsidP="00B53C52">
            <w:pPr>
              <w:autoSpaceDE w:val="0"/>
              <w:autoSpaceDN w:val="0"/>
              <w:adjustRightInd w:val="0"/>
              <w:spacing w:line="360" w:lineRule="auto"/>
              <w:jc w:val="center"/>
              <w:rPr>
                <w:rFonts w:ascii="Arial" w:eastAsiaTheme="minorHAnsi" w:hAnsi="Arial" w:cs="Arial"/>
                <w:lang w:val="es-US" w:eastAsia="en-US"/>
              </w:rPr>
            </w:pPr>
            <w:r>
              <w:rPr>
                <w:rFonts w:ascii="Arial" w:hAnsi="Arial" w:cs="Arial"/>
                <w:lang w:val="es-US"/>
              </w:rPr>
              <w:t>(F) %</w:t>
            </w:r>
          </w:p>
        </w:tc>
        <w:tc>
          <w:tcPr>
            <w:tcW w:w="977" w:type="dxa"/>
          </w:tcPr>
          <w:p w:rsidR="00B53C52" w:rsidRDefault="00B53C52" w:rsidP="00B53C52">
            <w:pPr>
              <w:autoSpaceDE w:val="0"/>
              <w:autoSpaceDN w:val="0"/>
              <w:adjustRightInd w:val="0"/>
              <w:spacing w:line="360" w:lineRule="auto"/>
              <w:jc w:val="center"/>
              <w:rPr>
                <w:rFonts w:ascii="Arial" w:eastAsiaTheme="minorHAnsi" w:hAnsi="Arial" w:cs="Arial"/>
                <w:lang w:val="es-US" w:eastAsia="en-US"/>
              </w:rPr>
            </w:pPr>
            <w:r>
              <w:rPr>
                <w:rFonts w:ascii="Arial" w:hAnsi="Arial" w:cs="Arial"/>
                <w:lang w:val="es-US"/>
              </w:rPr>
              <w:t>G (%)</w:t>
            </w:r>
          </w:p>
        </w:tc>
        <w:tc>
          <w:tcPr>
            <w:tcW w:w="950" w:type="dxa"/>
          </w:tcPr>
          <w:p w:rsidR="00B53C52" w:rsidRDefault="00B53C52" w:rsidP="00B53C52">
            <w:pPr>
              <w:autoSpaceDE w:val="0"/>
              <w:autoSpaceDN w:val="0"/>
              <w:adjustRightInd w:val="0"/>
              <w:spacing w:line="360" w:lineRule="auto"/>
              <w:jc w:val="center"/>
              <w:rPr>
                <w:rFonts w:ascii="Arial" w:eastAsiaTheme="minorHAnsi" w:hAnsi="Arial" w:cs="Arial"/>
                <w:lang w:val="es-US" w:eastAsia="en-US"/>
              </w:rPr>
            </w:pPr>
            <w:r>
              <w:rPr>
                <w:rFonts w:ascii="Arial" w:eastAsiaTheme="minorHAnsi" w:hAnsi="Arial" w:cs="Arial"/>
                <w:lang w:val="es-US" w:eastAsia="en-US"/>
              </w:rPr>
              <w:t>S (%)</w:t>
            </w:r>
          </w:p>
        </w:tc>
      </w:tr>
      <w:tr w:rsidR="00B53C52" w:rsidTr="00C56EC4">
        <w:trPr>
          <w:jc w:val="center"/>
        </w:trPr>
        <w:tc>
          <w:tcPr>
            <w:tcW w:w="2018" w:type="dxa"/>
          </w:tcPr>
          <w:p w:rsidR="00B53C52" w:rsidRDefault="00B53C52" w:rsidP="00361B76">
            <w:pPr>
              <w:autoSpaceDE w:val="0"/>
              <w:autoSpaceDN w:val="0"/>
              <w:adjustRightInd w:val="0"/>
              <w:spacing w:line="360" w:lineRule="auto"/>
              <w:jc w:val="both"/>
              <w:rPr>
                <w:rFonts w:ascii="Arial" w:eastAsiaTheme="minorHAnsi" w:hAnsi="Arial" w:cs="Arial"/>
                <w:lang w:val="es-US" w:eastAsia="en-US"/>
              </w:rPr>
            </w:pPr>
            <w:r w:rsidRPr="00361B76">
              <w:rPr>
                <w:rFonts w:ascii="Arial" w:hAnsi="Arial" w:cs="Arial"/>
              </w:rPr>
              <w:t>2,36x10</w:t>
            </w:r>
            <w:r w:rsidRPr="00361B76">
              <w:rPr>
                <w:rFonts w:ascii="Arial" w:hAnsi="Arial" w:cs="Arial"/>
                <w:vertAlign w:val="superscript"/>
              </w:rPr>
              <w:t>5</w:t>
            </w:r>
          </w:p>
        </w:tc>
        <w:tc>
          <w:tcPr>
            <w:tcW w:w="936" w:type="dxa"/>
          </w:tcPr>
          <w:p w:rsidR="00B53C52" w:rsidRDefault="00A816B9" w:rsidP="00A816B9">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29,96</w:t>
            </w:r>
          </w:p>
        </w:tc>
        <w:tc>
          <w:tcPr>
            <w:tcW w:w="977"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29,96</w:t>
            </w:r>
          </w:p>
        </w:tc>
        <w:tc>
          <w:tcPr>
            <w:tcW w:w="950"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6,06</w:t>
            </w:r>
          </w:p>
        </w:tc>
        <w:tc>
          <w:tcPr>
            <w:tcW w:w="936"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28,85</w:t>
            </w:r>
          </w:p>
        </w:tc>
        <w:tc>
          <w:tcPr>
            <w:tcW w:w="977"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28,85</w:t>
            </w:r>
          </w:p>
        </w:tc>
        <w:tc>
          <w:tcPr>
            <w:tcW w:w="950"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6,34</w:t>
            </w:r>
          </w:p>
        </w:tc>
      </w:tr>
      <w:tr w:rsidR="00B53C52" w:rsidTr="00C56EC4">
        <w:trPr>
          <w:jc w:val="center"/>
        </w:trPr>
        <w:tc>
          <w:tcPr>
            <w:tcW w:w="2018" w:type="dxa"/>
          </w:tcPr>
          <w:p w:rsidR="00B53C52" w:rsidRDefault="00B53C52" w:rsidP="00361B76">
            <w:pPr>
              <w:autoSpaceDE w:val="0"/>
              <w:autoSpaceDN w:val="0"/>
              <w:adjustRightInd w:val="0"/>
              <w:spacing w:line="360" w:lineRule="auto"/>
              <w:jc w:val="both"/>
              <w:rPr>
                <w:rFonts w:ascii="Arial" w:eastAsiaTheme="minorHAnsi" w:hAnsi="Arial" w:cs="Arial"/>
                <w:lang w:val="es-US" w:eastAsia="en-US"/>
              </w:rPr>
            </w:pPr>
            <w:r w:rsidRPr="00361B76">
              <w:rPr>
                <w:rFonts w:ascii="Arial" w:hAnsi="Arial" w:cs="Arial"/>
              </w:rPr>
              <w:t>2,36x10</w:t>
            </w:r>
            <w:r>
              <w:rPr>
                <w:rFonts w:ascii="Arial" w:hAnsi="Arial" w:cs="Arial"/>
                <w:vertAlign w:val="superscript"/>
              </w:rPr>
              <w:t>6</w:t>
            </w:r>
          </w:p>
        </w:tc>
        <w:tc>
          <w:tcPr>
            <w:tcW w:w="936"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31,51</w:t>
            </w:r>
          </w:p>
        </w:tc>
        <w:tc>
          <w:tcPr>
            <w:tcW w:w="977"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31,51</w:t>
            </w:r>
          </w:p>
        </w:tc>
        <w:tc>
          <w:tcPr>
            <w:tcW w:w="950"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7,01</w:t>
            </w:r>
          </w:p>
        </w:tc>
        <w:tc>
          <w:tcPr>
            <w:tcW w:w="936" w:type="dxa"/>
          </w:tcPr>
          <w:p w:rsidR="00B53C52" w:rsidRDefault="00A816B9" w:rsidP="00A816B9">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30,22</w:t>
            </w:r>
          </w:p>
        </w:tc>
        <w:tc>
          <w:tcPr>
            <w:tcW w:w="977"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30,22</w:t>
            </w:r>
          </w:p>
        </w:tc>
        <w:tc>
          <w:tcPr>
            <w:tcW w:w="950"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6,82</w:t>
            </w:r>
          </w:p>
        </w:tc>
      </w:tr>
      <w:tr w:rsidR="00B53C52" w:rsidTr="00C56EC4">
        <w:trPr>
          <w:jc w:val="center"/>
        </w:trPr>
        <w:tc>
          <w:tcPr>
            <w:tcW w:w="2018" w:type="dxa"/>
          </w:tcPr>
          <w:p w:rsidR="00B53C52" w:rsidRDefault="00B53C52" w:rsidP="00361B76">
            <w:pPr>
              <w:autoSpaceDE w:val="0"/>
              <w:autoSpaceDN w:val="0"/>
              <w:adjustRightInd w:val="0"/>
              <w:spacing w:line="360" w:lineRule="auto"/>
              <w:jc w:val="both"/>
              <w:rPr>
                <w:rFonts w:ascii="Arial" w:eastAsiaTheme="minorHAnsi" w:hAnsi="Arial" w:cs="Arial"/>
                <w:lang w:val="es-US" w:eastAsia="en-US"/>
              </w:rPr>
            </w:pPr>
            <w:r w:rsidRPr="00361B76">
              <w:rPr>
                <w:rFonts w:ascii="Arial" w:hAnsi="Arial" w:cs="Arial"/>
              </w:rPr>
              <w:t>2,36x10</w:t>
            </w:r>
            <w:r>
              <w:rPr>
                <w:rFonts w:ascii="Arial" w:hAnsi="Arial" w:cs="Arial"/>
                <w:vertAlign w:val="superscript"/>
              </w:rPr>
              <w:t>7</w:t>
            </w:r>
          </w:p>
        </w:tc>
        <w:tc>
          <w:tcPr>
            <w:tcW w:w="936"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36,38</w:t>
            </w:r>
          </w:p>
        </w:tc>
        <w:tc>
          <w:tcPr>
            <w:tcW w:w="977" w:type="dxa"/>
          </w:tcPr>
          <w:p w:rsidR="00B53C52" w:rsidRDefault="00A440D3"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36,58</w:t>
            </w:r>
          </w:p>
        </w:tc>
        <w:tc>
          <w:tcPr>
            <w:tcW w:w="950" w:type="dxa"/>
          </w:tcPr>
          <w:p w:rsidR="00B53C52" w:rsidRDefault="00A440D3" w:rsidP="006C0AE7">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7,</w:t>
            </w:r>
            <w:r w:rsidR="006C0AE7">
              <w:rPr>
                <w:rFonts w:ascii="Arial" w:eastAsiaTheme="minorHAnsi" w:hAnsi="Arial" w:cs="Arial"/>
                <w:lang w:val="es-US" w:eastAsia="en-US"/>
              </w:rPr>
              <w:t>06</w:t>
            </w:r>
          </w:p>
        </w:tc>
        <w:tc>
          <w:tcPr>
            <w:tcW w:w="936"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31,17</w:t>
            </w:r>
          </w:p>
        </w:tc>
        <w:tc>
          <w:tcPr>
            <w:tcW w:w="977" w:type="dxa"/>
          </w:tcPr>
          <w:p w:rsidR="00B53C52" w:rsidRDefault="00A440D3"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31,78</w:t>
            </w:r>
          </w:p>
        </w:tc>
        <w:tc>
          <w:tcPr>
            <w:tcW w:w="950" w:type="dxa"/>
          </w:tcPr>
          <w:p w:rsidR="00B53C52" w:rsidRDefault="00A440D3"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7,21</w:t>
            </w:r>
          </w:p>
        </w:tc>
      </w:tr>
      <w:tr w:rsidR="00B53C52" w:rsidTr="00C56EC4">
        <w:trPr>
          <w:jc w:val="center"/>
        </w:trPr>
        <w:tc>
          <w:tcPr>
            <w:tcW w:w="2018" w:type="dxa"/>
          </w:tcPr>
          <w:p w:rsidR="00B53C52" w:rsidRDefault="006C0AE7" w:rsidP="00361B76">
            <w:pPr>
              <w:autoSpaceDE w:val="0"/>
              <w:autoSpaceDN w:val="0"/>
              <w:adjustRightInd w:val="0"/>
              <w:spacing w:line="360" w:lineRule="auto"/>
              <w:jc w:val="both"/>
              <w:rPr>
                <w:rFonts w:ascii="Arial" w:eastAsiaTheme="minorHAnsi" w:hAnsi="Arial" w:cs="Arial"/>
                <w:lang w:val="es-US" w:eastAsia="en-US"/>
              </w:rPr>
            </w:pPr>
            <w:r>
              <w:rPr>
                <w:rFonts w:ascii="Arial" w:hAnsi="Arial" w:cs="Arial"/>
              </w:rPr>
              <w:t>2,36x</w:t>
            </w:r>
            <w:r w:rsidRPr="00361B76">
              <w:rPr>
                <w:rFonts w:ascii="Arial" w:hAnsi="Arial" w:cs="Arial"/>
              </w:rPr>
              <w:t>10</w:t>
            </w:r>
            <w:r>
              <w:rPr>
                <w:rFonts w:ascii="Arial" w:hAnsi="Arial" w:cs="Arial"/>
                <w:vertAlign w:val="superscript"/>
              </w:rPr>
              <w:t>8</w:t>
            </w:r>
          </w:p>
        </w:tc>
        <w:tc>
          <w:tcPr>
            <w:tcW w:w="936" w:type="dxa"/>
          </w:tcPr>
          <w:p w:rsidR="00B53C52" w:rsidRDefault="006C0AE7"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36</w:t>
            </w:r>
            <w:r w:rsidR="00A816B9">
              <w:rPr>
                <w:rFonts w:ascii="Arial" w:eastAsiaTheme="minorHAnsi" w:hAnsi="Arial" w:cs="Arial"/>
                <w:lang w:val="es-US" w:eastAsia="en-US"/>
              </w:rPr>
              <w:t>,2</w:t>
            </w:r>
            <w:r>
              <w:rPr>
                <w:rFonts w:ascii="Arial" w:eastAsiaTheme="minorHAnsi" w:hAnsi="Arial" w:cs="Arial"/>
                <w:lang w:val="es-US" w:eastAsia="en-US"/>
              </w:rPr>
              <w:t>0</w:t>
            </w:r>
          </w:p>
        </w:tc>
        <w:tc>
          <w:tcPr>
            <w:tcW w:w="977" w:type="dxa"/>
          </w:tcPr>
          <w:p w:rsidR="00B53C52" w:rsidRDefault="00A440D3" w:rsidP="006C0AE7">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w:t>
            </w:r>
            <w:r w:rsidR="006C0AE7">
              <w:rPr>
                <w:rFonts w:ascii="Arial" w:eastAsiaTheme="minorHAnsi" w:hAnsi="Arial" w:cs="Arial"/>
                <w:lang w:val="es-US" w:eastAsia="en-US"/>
              </w:rPr>
              <w:t>6</w:t>
            </w:r>
            <w:r>
              <w:rPr>
                <w:rFonts w:ascii="Arial" w:eastAsiaTheme="minorHAnsi" w:hAnsi="Arial" w:cs="Arial"/>
                <w:lang w:val="es-US" w:eastAsia="en-US"/>
              </w:rPr>
              <w:t>,21</w:t>
            </w:r>
          </w:p>
        </w:tc>
        <w:tc>
          <w:tcPr>
            <w:tcW w:w="950" w:type="dxa"/>
          </w:tcPr>
          <w:p w:rsidR="00B53C52" w:rsidRDefault="006C0AE7" w:rsidP="006C0AE7">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7</w:t>
            </w:r>
            <w:r w:rsidR="00A440D3">
              <w:rPr>
                <w:rFonts w:ascii="Arial" w:eastAsiaTheme="minorHAnsi" w:hAnsi="Arial" w:cs="Arial"/>
                <w:lang w:val="es-US" w:eastAsia="en-US"/>
              </w:rPr>
              <w:t>,</w:t>
            </w:r>
            <w:r>
              <w:rPr>
                <w:rFonts w:ascii="Arial" w:eastAsiaTheme="minorHAnsi" w:hAnsi="Arial" w:cs="Arial"/>
                <w:lang w:val="es-US" w:eastAsia="en-US"/>
              </w:rPr>
              <w:t>2</w:t>
            </w:r>
            <w:r w:rsidR="00A440D3">
              <w:rPr>
                <w:rFonts w:ascii="Arial" w:eastAsiaTheme="minorHAnsi" w:hAnsi="Arial" w:cs="Arial"/>
                <w:lang w:val="es-US" w:eastAsia="en-US"/>
              </w:rPr>
              <w:t>2</w:t>
            </w:r>
          </w:p>
        </w:tc>
        <w:tc>
          <w:tcPr>
            <w:tcW w:w="936" w:type="dxa"/>
          </w:tcPr>
          <w:p w:rsidR="00B53C52" w:rsidRDefault="00A816B9"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36,06</w:t>
            </w:r>
          </w:p>
        </w:tc>
        <w:tc>
          <w:tcPr>
            <w:tcW w:w="977" w:type="dxa"/>
          </w:tcPr>
          <w:p w:rsidR="00B53C52" w:rsidRDefault="00A440D3"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36,59</w:t>
            </w:r>
          </w:p>
        </w:tc>
        <w:tc>
          <w:tcPr>
            <w:tcW w:w="950" w:type="dxa"/>
          </w:tcPr>
          <w:p w:rsidR="00B53C52" w:rsidRDefault="00A440D3" w:rsidP="00361B76">
            <w:pPr>
              <w:autoSpaceDE w:val="0"/>
              <w:autoSpaceDN w:val="0"/>
              <w:adjustRightInd w:val="0"/>
              <w:spacing w:line="360" w:lineRule="auto"/>
              <w:jc w:val="both"/>
              <w:rPr>
                <w:rFonts w:ascii="Arial" w:eastAsiaTheme="minorHAnsi" w:hAnsi="Arial" w:cs="Arial"/>
                <w:lang w:val="es-US" w:eastAsia="en-US"/>
              </w:rPr>
            </w:pPr>
            <w:r>
              <w:rPr>
                <w:rFonts w:ascii="Arial" w:eastAsiaTheme="minorHAnsi" w:hAnsi="Arial" w:cs="Arial"/>
                <w:lang w:val="es-US" w:eastAsia="en-US"/>
              </w:rPr>
              <w:t>7,63</w:t>
            </w:r>
          </w:p>
        </w:tc>
      </w:tr>
    </w:tbl>
    <w:p w:rsidR="00B53C52" w:rsidRDefault="00E47CC9" w:rsidP="00C56EC4">
      <w:pPr>
        <w:autoSpaceDE w:val="0"/>
        <w:autoSpaceDN w:val="0"/>
        <w:adjustRightInd w:val="0"/>
        <w:spacing w:line="360" w:lineRule="auto"/>
        <w:jc w:val="center"/>
        <w:rPr>
          <w:rFonts w:ascii="Arial" w:eastAsiaTheme="minorHAnsi" w:hAnsi="Arial" w:cs="Arial"/>
          <w:lang w:val="es-US" w:eastAsia="en-US"/>
        </w:rPr>
      </w:pPr>
      <w:r>
        <w:rPr>
          <w:rFonts w:ascii="Arial" w:eastAsiaTheme="minorHAnsi" w:hAnsi="Arial" w:cs="Arial"/>
          <w:lang w:val="es-US" w:eastAsia="en-US"/>
        </w:rPr>
        <w:t>Fructosa</w:t>
      </w:r>
      <w:r w:rsidR="003001F8">
        <w:rPr>
          <w:rFonts w:ascii="Arial" w:eastAsiaTheme="minorHAnsi" w:hAnsi="Arial" w:cs="Arial"/>
          <w:lang w:val="es-US" w:eastAsia="en-US"/>
        </w:rPr>
        <w:t xml:space="preserve"> (F); Glucosa (G); Sacarosa (S)</w:t>
      </w:r>
    </w:p>
    <w:p w:rsidR="00B53C52" w:rsidRDefault="00B53C52" w:rsidP="00361B76">
      <w:pPr>
        <w:autoSpaceDE w:val="0"/>
        <w:autoSpaceDN w:val="0"/>
        <w:adjustRightInd w:val="0"/>
        <w:spacing w:line="360" w:lineRule="auto"/>
        <w:jc w:val="both"/>
        <w:rPr>
          <w:rFonts w:ascii="Arial" w:eastAsiaTheme="minorHAnsi" w:hAnsi="Arial" w:cs="Arial"/>
          <w:lang w:val="es-US" w:eastAsia="en-US"/>
        </w:rPr>
      </w:pPr>
    </w:p>
    <w:p w:rsidR="00EF4221" w:rsidRPr="00361B76" w:rsidRDefault="00EF4221" w:rsidP="00361B76">
      <w:pPr>
        <w:spacing w:line="360" w:lineRule="auto"/>
        <w:rPr>
          <w:rFonts w:ascii="Arial" w:hAnsi="Arial" w:cs="Arial"/>
          <w:lang w:val="es-US"/>
        </w:rPr>
      </w:pPr>
    </w:p>
    <w:p w:rsidR="001F34CB" w:rsidRPr="00361B76" w:rsidRDefault="001F34CB" w:rsidP="00361B76">
      <w:pPr>
        <w:spacing w:line="360" w:lineRule="auto"/>
        <w:jc w:val="center"/>
        <w:rPr>
          <w:rFonts w:ascii="Arial" w:hAnsi="Arial" w:cs="Arial"/>
          <w:b/>
          <w:lang w:val="es-US"/>
        </w:rPr>
      </w:pPr>
      <w:r w:rsidRPr="00361B76">
        <w:rPr>
          <w:rFonts w:ascii="Arial" w:hAnsi="Arial" w:cs="Arial"/>
          <w:b/>
          <w:lang w:val="es-US"/>
        </w:rPr>
        <w:lastRenderedPageBreak/>
        <w:t xml:space="preserve">Conclusiones </w:t>
      </w:r>
    </w:p>
    <w:p w:rsidR="001F34CB" w:rsidRPr="00361B76" w:rsidRDefault="001F34CB" w:rsidP="00361B76">
      <w:pPr>
        <w:pStyle w:val="Prrafodelista"/>
        <w:numPr>
          <w:ilvl w:val="0"/>
          <w:numId w:val="1"/>
        </w:numPr>
        <w:spacing w:line="360" w:lineRule="auto"/>
        <w:jc w:val="both"/>
        <w:rPr>
          <w:rFonts w:ascii="Arial" w:hAnsi="Arial" w:cs="Arial"/>
          <w:lang w:val="es-US"/>
        </w:rPr>
      </w:pPr>
      <w:r w:rsidRPr="00361B76">
        <w:rPr>
          <w:rFonts w:ascii="Arial" w:hAnsi="Arial" w:cs="Arial"/>
          <w:lang w:val="es-US"/>
        </w:rPr>
        <w:t>Las cuatro concentraciones en ambas cepas no afectaron el rango crítico de los caracteres evaluados.</w:t>
      </w:r>
    </w:p>
    <w:p w:rsidR="001F34CB" w:rsidRPr="00361B76" w:rsidRDefault="001F34CB" w:rsidP="00361B76">
      <w:pPr>
        <w:pStyle w:val="Prrafodelista"/>
        <w:numPr>
          <w:ilvl w:val="0"/>
          <w:numId w:val="1"/>
        </w:numPr>
        <w:spacing w:line="360" w:lineRule="auto"/>
        <w:jc w:val="both"/>
        <w:rPr>
          <w:rFonts w:ascii="Arial" w:hAnsi="Arial" w:cs="Arial"/>
          <w:lang w:val="es-US"/>
        </w:rPr>
      </w:pPr>
      <w:r w:rsidRPr="00361B76">
        <w:rPr>
          <w:rFonts w:ascii="Arial" w:hAnsi="Arial" w:cs="Arial"/>
        </w:rPr>
        <w:t xml:space="preserve">El indicador que más responde negativamente a la exposición de los hongos fue la conductividad eléctrica de 0,97mS/cm a un valor máximo de 1,98 </w:t>
      </w:r>
      <w:proofErr w:type="spellStart"/>
      <w:r w:rsidRPr="00361B76">
        <w:rPr>
          <w:rFonts w:ascii="Arial" w:hAnsi="Arial" w:cs="Arial"/>
        </w:rPr>
        <w:t>mS</w:t>
      </w:r>
      <w:proofErr w:type="spellEnd"/>
      <w:r w:rsidRPr="00361B76">
        <w:rPr>
          <w:rFonts w:ascii="Arial" w:hAnsi="Arial" w:cs="Arial"/>
        </w:rPr>
        <w:t>/cm.</w:t>
      </w:r>
    </w:p>
    <w:p w:rsidR="001F34CB" w:rsidRPr="00361B76" w:rsidRDefault="001F34CB" w:rsidP="00361B76">
      <w:pPr>
        <w:pStyle w:val="Prrafodelista"/>
        <w:numPr>
          <w:ilvl w:val="0"/>
          <w:numId w:val="1"/>
        </w:numPr>
        <w:spacing w:line="360" w:lineRule="auto"/>
        <w:jc w:val="both"/>
        <w:rPr>
          <w:rFonts w:ascii="Arial" w:hAnsi="Arial" w:cs="Arial"/>
          <w:lang w:val="es-US"/>
        </w:rPr>
      </w:pPr>
      <w:r w:rsidRPr="00361B76">
        <w:rPr>
          <w:rFonts w:ascii="Arial" w:hAnsi="Arial" w:cs="Arial"/>
        </w:rPr>
        <w:t xml:space="preserve">Los mejores resultados en todos los indicadores estudiados lo alcanzó la cepa </w:t>
      </w:r>
      <w:r w:rsidRPr="00361B76">
        <w:rPr>
          <w:rFonts w:ascii="Arial" w:hAnsi="Arial" w:cs="Arial"/>
          <w:lang w:val="x-none"/>
        </w:rPr>
        <w:t>OMRI</w:t>
      </w:r>
      <w:r w:rsidRPr="00361B76">
        <w:rPr>
          <w:rFonts w:ascii="Arial" w:hAnsi="Arial" w:cs="Arial"/>
          <w:lang w:val="es-ES"/>
        </w:rPr>
        <w:t>-</w:t>
      </w:r>
      <w:r w:rsidRPr="00361B76">
        <w:rPr>
          <w:rFonts w:ascii="Arial" w:hAnsi="Arial" w:cs="Arial"/>
          <w:lang w:val="x-none"/>
        </w:rPr>
        <w:t>listeo®</w:t>
      </w:r>
      <w:r w:rsidRPr="00361B76">
        <w:rPr>
          <w:rFonts w:ascii="Arial" w:hAnsi="Arial" w:cs="Arial"/>
          <w:lang w:val="es-ES"/>
        </w:rPr>
        <w:t xml:space="preserve"> con </w:t>
      </w:r>
      <w:r w:rsidRPr="00361B76">
        <w:rPr>
          <w:rFonts w:ascii="Arial" w:hAnsi="Arial" w:cs="Arial"/>
        </w:rPr>
        <w:t>2,36x10</w:t>
      </w:r>
      <w:r w:rsidRPr="00361B76">
        <w:rPr>
          <w:rFonts w:ascii="Arial" w:hAnsi="Arial" w:cs="Arial"/>
          <w:vertAlign w:val="superscript"/>
        </w:rPr>
        <w:t xml:space="preserve">5 </w:t>
      </w:r>
      <w:r w:rsidRPr="00361B76">
        <w:rPr>
          <w:rFonts w:ascii="Arial" w:hAnsi="Arial" w:cs="Arial"/>
        </w:rPr>
        <w:t xml:space="preserve">esporas/ml. </w:t>
      </w:r>
      <w:r w:rsidRPr="00361B76">
        <w:rPr>
          <w:rFonts w:ascii="Arial" w:hAnsi="Arial" w:cs="Arial"/>
          <w:lang w:val="es-US"/>
        </w:rPr>
        <w:t xml:space="preserve"> </w:t>
      </w:r>
    </w:p>
    <w:p w:rsidR="001F34CB" w:rsidRPr="00361B76" w:rsidRDefault="001F34CB" w:rsidP="00361B76">
      <w:pPr>
        <w:pStyle w:val="Prrafodelista"/>
        <w:spacing w:line="360" w:lineRule="auto"/>
        <w:ind w:left="720"/>
        <w:jc w:val="center"/>
        <w:rPr>
          <w:rFonts w:ascii="Arial" w:hAnsi="Arial" w:cs="Arial"/>
          <w:b/>
          <w:lang w:val="es-US"/>
        </w:rPr>
      </w:pPr>
    </w:p>
    <w:p w:rsidR="001F34CB" w:rsidRPr="00361B76" w:rsidRDefault="001F34CB" w:rsidP="00361B76">
      <w:pPr>
        <w:pStyle w:val="Prrafodelista"/>
        <w:spacing w:line="360" w:lineRule="auto"/>
        <w:ind w:left="720"/>
        <w:jc w:val="center"/>
        <w:rPr>
          <w:rFonts w:ascii="Arial" w:hAnsi="Arial" w:cs="Arial"/>
          <w:b/>
          <w:lang w:val="es-US"/>
        </w:rPr>
      </w:pPr>
      <w:r w:rsidRPr="00361B76">
        <w:rPr>
          <w:rFonts w:ascii="Arial" w:hAnsi="Arial" w:cs="Arial"/>
          <w:b/>
          <w:lang w:val="es-US"/>
        </w:rPr>
        <w:t xml:space="preserve">Referencias bibliográficas </w:t>
      </w:r>
    </w:p>
    <w:p w:rsidR="002A23C4" w:rsidRPr="00361B76" w:rsidRDefault="002A23C4" w:rsidP="00361B76">
      <w:pPr>
        <w:spacing w:line="360" w:lineRule="auto"/>
        <w:ind w:left="709" w:hanging="709"/>
        <w:jc w:val="both"/>
        <w:rPr>
          <w:rFonts w:ascii="Arial" w:hAnsi="Arial" w:cs="Arial"/>
          <w:lang w:val="es-US" w:eastAsia="es-ES"/>
        </w:rPr>
      </w:pPr>
      <w:r w:rsidRPr="00361B76">
        <w:rPr>
          <w:rFonts w:ascii="Arial" w:hAnsi="Arial" w:cs="Arial"/>
          <w:lang w:val="es-US" w:eastAsia="es-ES"/>
        </w:rPr>
        <w:t>Ballesteros, E., Castellanos R., A., &amp; Téllez., F. (2019). Determinantes fisicoquímicos de la Calidad de la miel: una revisión bibliográfica. Cuadernos de Desarrollo Rural, 16 (83).</w:t>
      </w:r>
    </w:p>
    <w:p w:rsidR="002A23C4" w:rsidRPr="00361B76" w:rsidRDefault="002A23C4" w:rsidP="00361B76">
      <w:pPr>
        <w:spacing w:line="360" w:lineRule="auto"/>
        <w:ind w:left="709" w:hanging="709"/>
        <w:jc w:val="both"/>
        <w:rPr>
          <w:rFonts w:ascii="Arial" w:hAnsi="Arial" w:cs="Arial"/>
          <w:lang w:val="en-US" w:eastAsia="es-ES"/>
        </w:rPr>
      </w:pPr>
      <w:proofErr w:type="spellStart"/>
      <w:r w:rsidRPr="00361B76">
        <w:rPr>
          <w:rFonts w:ascii="Arial" w:hAnsi="Arial" w:cs="Arial"/>
          <w:lang w:val="en-US" w:eastAsia="es-ES"/>
        </w:rPr>
        <w:t>Bogdanov</w:t>
      </w:r>
      <w:proofErr w:type="spellEnd"/>
      <w:r w:rsidRPr="00361B76">
        <w:rPr>
          <w:rFonts w:ascii="Arial" w:hAnsi="Arial" w:cs="Arial"/>
          <w:lang w:val="en-US" w:eastAsia="es-ES"/>
        </w:rPr>
        <w:t xml:space="preserve">, S., Martin, P., &amp; </w:t>
      </w:r>
      <w:proofErr w:type="spellStart"/>
      <w:r w:rsidRPr="00361B76">
        <w:rPr>
          <w:rFonts w:ascii="Arial" w:hAnsi="Arial" w:cs="Arial"/>
          <w:lang w:val="en-US" w:eastAsia="es-ES"/>
        </w:rPr>
        <w:t>Lüllmann</w:t>
      </w:r>
      <w:proofErr w:type="spellEnd"/>
      <w:r w:rsidRPr="00361B76">
        <w:rPr>
          <w:rFonts w:ascii="Arial" w:hAnsi="Arial" w:cs="Arial"/>
          <w:lang w:val="en-US" w:eastAsia="es-ES"/>
        </w:rPr>
        <w:t xml:space="preserve"> C.  (1997). </w:t>
      </w:r>
      <w:proofErr w:type="spellStart"/>
      <w:r w:rsidRPr="00361B76">
        <w:rPr>
          <w:rFonts w:ascii="Arial" w:hAnsi="Arial" w:cs="Arial"/>
          <w:lang w:val="en-US" w:eastAsia="es-ES"/>
        </w:rPr>
        <w:t>Harmonised</w:t>
      </w:r>
      <w:proofErr w:type="spellEnd"/>
      <w:r w:rsidRPr="00361B76">
        <w:rPr>
          <w:rFonts w:ascii="Arial" w:hAnsi="Arial" w:cs="Arial"/>
          <w:lang w:val="en-US" w:eastAsia="es-ES"/>
        </w:rPr>
        <w:t xml:space="preserve"> methods of the European honey commission. </w:t>
      </w:r>
      <w:proofErr w:type="spellStart"/>
      <w:r w:rsidRPr="00361B76">
        <w:rPr>
          <w:rFonts w:ascii="Arial" w:hAnsi="Arial" w:cs="Arial"/>
          <w:lang w:val="en-US" w:eastAsia="es-ES"/>
        </w:rPr>
        <w:t>Apidologie</w:t>
      </w:r>
      <w:proofErr w:type="spellEnd"/>
      <w:r w:rsidRPr="00361B76">
        <w:rPr>
          <w:rFonts w:ascii="Arial" w:hAnsi="Arial" w:cs="Arial"/>
          <w:lang w:val="en-US" w:eastAsia="es-ES"/>
        </w:rPr>
        <w:t xml:space="preserve">, 1, 59 </w:t>
      </w:r>
    </w:p>
    <w:p w:rsidR="002A23C4" w:rsidRPr="00361B76" w:rsidRDefault="002A23C4" w:rsidP="00361B76">
      <w:pPr>
        <w:spacing w:line="360" w:lineRule="auto"/>
        <w:ind w:left="709" w:hanging="709"/>
        <w:jc w:val="both"/>
        <w:rPr>
          <w:rFonts w:ascii="Arial" w:hAnsi="Arial" w:cs="Arial"/>
          <w:lang w:eastAsia="es-ES"/>
        </w:rPr>
      </w:pPr>
      <w:r w:rsidRPr="00361B76">
        <w:rPr>
          <w:rFonts w:ascii="Arial" w:hAnsi="Arial" w:cs="Arial"/>
          <w:lang w:eastAsia="es-ES"/>
        </w:rPr>
        <w:t xml:space="preserve">FAO, Estadísticas FAOSTAT. (2018, Junio), Resumen anual de la FAOSTAT, disponible en: http://www.fao.org/faostat/es/#data. </w:t>
      </w:r>
    </w:p>
    <w:p w:rsidR="002A23C4" w:rsidRPr="00361B76" w:rsidRDefault="002A23C4" w:rsidP="00361B76">
      <w:pPr>
        <w:spacing w:line="360" w:lineRule="auto"/>
        <w:ind w:left="709" w:hanging="709"/>
        <w:jc w:val="both"/>
        <w:rPr>
          <w:rFonts w:ascii="Arial" w:hAnsi="Arial" w:cs="Arial"/>
          <w:lang w:val="en-US" w:eastAsia="es-ES"/>
        </w:rPr>
      </w:pPr>
      <w:proofErr w:type="spellStart"/>
      <w:r w:rsidRPr="00361B76">
        <w:rPr>
          <w:rFonts w:ascii="Arial" w:hAnsi="Arial" w:cs="Arial"/>
          <w:lang w:eastAsia="es-ES"/>
        </w:rPr>
        <w:t>Granato</w:t>
      </w:r>
      <w:proofErr w:type="spellEnd"/>
      <w:r w:rsidRPr="00361B76">
        <w:rPr>
          <w:rFonts w:ascii="Arial" w:hAnsi="Arial" w:cs="Arial"/>
          <w:lang w:eastAsia="es-ES"/>
        </w:rPr>
        <w:t xml:space="preserve">, A., </w:t>
      </w:r>
      <w:proofErr w:type="spellStart"/>
      <w:r w:rsidRPr="00361B76">
        <w:rPr>
          <w:rFonts w:ascii="Arial" w:hAnsi="Arial" w:cs="Arial"/>
          <w:lang w:eastAsia="es-ES"/>
        </w:rPr>
        <w:t>Zecchin</w:t>
      </w:r>
      <w:proofErr w:type="spellEnd"/>
      <w:r w:rsidRPr="00361B76">
        <w:rPr>
          <w:rFonts w:ascii="Arial" w:hAnsi="Arial" w:cs="Arial"/>
          <w:lang w:eastAsia="es-ES"/>
        </w:rPr>
        <w:t xml:space="preserve">, B., </w:t>
      </w:r>
      <w:proofErr w:type="spellStart"/>
      <w:r w:rsidRPr="00361B76">
        <w:rPr>
          <w:rFonts w:ascii="Arial" w:hAnsi="Arial" w:cs="Arial"/>
          <w:lang w:eastAsia="es-ES"/>
        </w:rPr>
        <w:t>Barrato</w:t>
      </w:r>
      <w:proofErr w:type="spellEnd"/>
      <w:r w:rsidRPr="00361B76">
        <w:rPr>
          <w:rFonts w:ascii="Arial" w:hAnsi="Arial" w:cs="Arial"/>
          <w:lang w:eastAsia="es-ES"/>
        </w:rPr>
        <w:t xml:space="preserve">, C., </w:t>
      </w:r>
      <w:proofErr w:type="spellStart"/>
      <w:r w:rsidRPr="00361B76">
        <w:rPr>
          <w:rFonts w:ascii="Arial" w:hAnsi="Arial" w:cs="Arial"/>
          <w:lang w:eastAsia="es-ES"/>
        </w:rPr>
        <w:t>Duquesne</w:t>
      </w:r>
      <w:proofErr w:type="spellEnd"/>
      <w:r w:rsidRPr="00361B76">
        <w:rPr>
          <w:rFonts w:ascii="Arial" w:hAnsi="Arial" w:cs="Arial"/>
          <w:lang w:eastAsia="es-ES"/>
        </w:rPr>
        <w:t xml:space="preserve">, V., </w:t>
      </w:r>
      <w:proofErr w:type="spellStart"/>
      <w:r w:rsidRPr="00361B76">
        <w:rPr>
          <w:rFonts w:ascii="Arial" w:hAnsi="Arial" w:cs="Arial"/>
          <w:lang w:eastAsia="es-ES"/>
        </w:rPr>
        <w:t>Negrisolo</w:t>
      </w:r>
      <w:proofErr w:type="spellEnd"/>
      <w:r w:rsidRPr="00361B76">
        <w:rPr>
          <w:rFonts w:ascii="Arial" w:hAnsi="Arial" w:cs="Arial"/>
          <w:lang w:eastAsia="es-ES"/>
        </w:rPr>
        <w:t xml:space="preserve">, E., </w:t>
      </w:r>
      <w:proofErr w:type="spellStart"/>
      <w:r w:rsidRPr="00361B76">
        <w:rPr>
          <w:rFonts w:ascii="Arial" w:hAnsi="Arial" w:cs="Arial"/>
          <w:lang w:eastAsia="es-ES"/>
        </w:rPr>
        <w:t>Chauzat</w:t>
      </w:r>
      <w:proofErr w:type="spellEnd"/>
      <w:r w:rsidRPr="00361B76">
        <w:rPr>
          <w:rFonts w:ascii="Arial" w:hAnsi="Arial" w:cs="Arial"/>
          <w:lang w:eastAsia="es-ES"/>
        </w:rPr>
        <w:t xml:space="preserve">, M.P., et al. </w:t>
      </w:r>
      <w:r w:rsidRPr="00361B76">
        <w:rPr>
          <w:rFonts w:ascii="Arial" w:hAnsi="Arial" w:cs="Arial"/>
          <w:lang w:val="en-US" w:eastAsia="es-ES"/>
        </w:rPr>
        <w:t xml:space="preserve">(2017). Introduction of </w:t>
      </w:r>
      <w:r w:rsidRPr="00361B76">
        <w:rPr>
          <w:rFonts w:ascii="Arial" w:hAnsi="Arial" w:cs="Arial"/>
          <w:i/>
          <w:lang w:val="en-US" w:eastAsia="es-ES"/>
        </w:rPr>
        <w:t xml:space="preserve">Aethina </w:t>
      </w:r>
      <w:proofErr w:type="spellStart"/>
      <w:r w:rsidRPr="00361B76">
        <w:rPr>
          <w:rFonts w:ascii="Arial" w:hAnsi="Arial" w:cs="Arial"/>
          <w:i/>
          <w:lang w:val="en-US" w:eastAsia="es-ES"/>
        </w:rPr>
        <w:t>tumida</w:t>
      </w:r>
      <w:proofErr w:type="spellEnd"/>
      <w:r w:rsidRPr="00361B76">
        <w:rPr>
          <w:rFonts w:ascii="Arial" w:hAnsi="Arial" w:cs="Arial"/>
          <w:lang w:val="en-US" w:eastAsia="es-ES"/>
        </w:rPr>
        <w:t xml:space="preserve"> (</w:t>
      </w:r>
      <w:proofErr w:type="spellStart"/>
      <w:r w:rsidRPr="00361B76">
        <w:rPr>
          <w:rFonts w:ascii="Arial" w:hAnsi="Arial" w:cs="Arial"/>
          <w:lang w:val="en-US" w:eastAsia="es-ES"/>
        </w:rPr>
        <w:t>Coleoptera</w:t>
      </w:r>
      <w:proofErr w:type="spellEnd"/>
      <w:r w:rsidRPr="00361B76">
        <w:rPr>
          <w:rFonts w:ascii="Arial" w:hAnsi="Arial" w:cs="Arial"/>
          <w:lang w:val="en-US" w:eastAsia="es-ES"/>
        </w:rPr>
        <w:t xml:space="preserve">: </w:t>
      </w:r>
      <w:proofErr w:type="spellStart"/>
      <w:r w:rsidRPr="00361B76">
        <w:rPr>
          <w:rFonts w:ascii="Arial" w:hAnsi="Arial" w:cs="Arial"/>
          <w:lang w:val="en-US" w:eastAsia="es-ES"/>
        </w:rPr>
        <w:t>Nitidulidae</w:t>
      </w:r>
      <w:proofErr w:type="spellEnd"/>
      <w:r w:rsidRPr="00361B76">
        <w:rPr>
          <w:rFonts w:ascii="Arial" w:hAnsi="Arial" w:cs="Arial"/>
          <w:lang w:val="en-US" w:eastAsia="es-ES"/>
        </w:rPr>
        <w:t xml:space="preserve">) in the regions of Calabria and Sicily (southern Italy). </w:t>
      </w:r>
      <w:proofErr w:type="spellStart"/>
      <w:r w:rsidRPr="00361B76">
        <w:rPr>
          <w:rFonts w:ascii="Arial" w:hAnsi="Arial" w:cs="Arial"/>
          <w:i/>
          <w:lang w:val="en-US" w:eastAsia="es-ES"/>
        </w:rPr>
        <w:t>Apidologie</w:t>
      </w:r>
      <w:proofErr w:type="spellEnd"/>
      <w:r w:rsidRPr="00361B76">
        <w:rPr>
          <w:rFonts w:ascii="Arial" w:hAnsi="Arial" w:cs="Arial"/>
          <w:lang w:val="en-US" w:eastAsia="es-ES"/>
        </w:rPr>
        <w:t>, 48, 194–203.</w:t>
      </w:r>
    </w:p>
    <w:p w:rsidR="002A23C4" w:rsidRPr="00361B76" w:rsidRDefault="002A23C4" w:rsidP="00361B76">
      <w:pPr>
        <w:spacing w:line="360" w:lineRule="auto"/>
        <w:ind w:left="709" w:hanging="709"/>
        <w:jc w:val="both"/>
        <w:rPr>
          <w:rFonts w:ascii="Arial" w:hAnsi="Arial" w:cs="Arial"/>
          <w:lang w:val="en-US" w:eastAsia="es-ES"/>
        </w:rPr>
      </w:pPr>
      <w:r w:rsidRPr="00361B76">
        <w:rPr>
          <w:rFonts w:ascii="Arial" w:hAnsi="Arial" w:cs="Arial"/>
          <w:lang w:val="en-US" w:eastAsia="es-ES"/>
        </w:rPr>
        <w:t xml:space="preserve">Hayes, R., Amos, B., Rice, S.J., Baker, D.K., &amp; </w:t>
      </w:r>
      <w:proofErr w:type="spellStart"/>
      <w:r w:rsidRPr="00361B76">
        <w:rPr>
          <w:rFonts w:ascii="Arial" w:hAnsi="Arial" w:cs="Arial"/>
          <w:lang w:val="en-US" w:eastAsia="es-ES"/>
        </w:rPr>
        <w:t>Leemon</w:t>
      </w:r>
      <w:proofErr w:type="spellEnd"/>
      <w:r w:rsidRPr="00361B76">
        <w:rPr>
          <w:rFonts w:ascii="Arial" w:hAnsi="Arial" w:cs="Arial"/>
          <w:lang w:val="en-US" w:eastAsia="es-ES"/>
        </w:rPr>
        <w:t xml:space="preserve">, D.M. (2019), </w:t>
      </w:r>
      <w:proofErr w:type="spellStart"/>
      <w:r w:rsidRPr="00361B76">
        <w:rPr>
          <w:rFonts w:ascii="Arial" w:hAnsi="Arial" w:cs="Arial"/>
          <w:lang w:val="en-US" w:eastAsia="es-ES"/>
        </w:rPr>
        <w:t>Behavioural</w:t>
      </w:r>
      <w:proofErr w:type="spellEnd"/>
      <w:r w:rsidRPr="00361B76">
        <w:rPr>
          <w:rFonts w:ascii="Arial" w:hAnsi="Arial" w:cs="Arial"/>
          <w:lang w:val="en-US" w:eastAsia="es-ES"/>
        </w:rPr>
        <w:t xml:space="preserve"> responses of the small hive beetle to volatile components off </w:t>
      </w:r>
      <w:proofErr w:type="spellStart"/>
      <w:r w:rsidRPr="00361B76">
        <w:rPr>
          <w:rFonts w:ascii="Arial" w:hAnsi="Arial" w:cs="Arial"/>
          <w:lang w:val="en-US" w:eastAsia="es-ES"/>
        </w:rPr>
        <w:t>ermenting</w:t>
      </w:r>
      <w:proofErr w:type="spellEnd"/>
      <w:r w:rsidRPr="00361B76">
        <w:rPr>
          <w:rFonts w:ascii="Arial" w:hAnsi="Arial" w:cs="Arial"/>
          <w:lang w:val="en-US" w:eastAsia="es-ES"/>
        </w:rPr>
        <w:t xml:space="preserve"> honey bee hive products. </w:t>
      </w:r>
      <w:proofErr w:type="spellStart"/>
      <w:r w:rsidRPr="00361B76">
        <w:rPr>
          <w:rFonts w:ascii="Arial" w:hAnsi="Arial" w:cs="Arial"/>
          <w:i/>
          <w:lang w:val="en-US" w:eastAsia="es-ES"/>
        </w:rPr>
        <w:t>Entomologia</w:t>
      </w:r>
      <w:proofErr w:type="spellEnd"/>
      <w:r w:rsidRPr="00361B76">
        <w:rPr>
          <w:rFonts w:ascii="Arial" w:hAnsi="Arial" w:cs="Arial"/>
          <w:i/>
          <w:lang w:val="en-US" w:eastAsia="es-ES"/>
        </w:rPr>
        <w:t xml:space="preserve"> </w:t>
      </w:r>
      <w:proofErr w:type="spellStart"/>
      <w:r w:rsidRPr="00361B76">
        <w:rPr>
          <w:rFonts w:ascii="Arial" w:hAnsi="Arial" w:cs="Arial"/>
          <w:i/>
          <w:lang w:val="en-US" w:eastAsia="es-ES"/>
        </w:rPr>
        <w:t>Experimentalis</w:t>
      </w:r>
      <w:proofErr w:type="spellEnd"/>
      <w:r w:rsidRPr="00361B76">
        <w:rPr>
          <w:rFonts w:ascii="Arial" w:hAnsi="Arial" w:cs="Arial"/>
          <w:i/>
          <w:lang w:val="en-US" w:eastAsia="es-ES"/>
        </w:rPr>
        <w:t xml:space="preserve"> </w:t>
      </w:r>
      <w:proofErr w:type="gramStart"/>
      <w:r w:rsidRPr="00361B76">
        <w:rPr>
          <w:rFonts w:ascii="Arial" w:hAnsi="Arial" w:cs="Arial"/>
          <w:i/>
          <w:lang w:val="en-US" w:eastAsia="es-ES"/>
        </w:rPr>
        <w:t>et</w:t>
      </w:r>
      <w:proofErr w:type="gramEnd"/>
      <w:r w:rsidRPr="00361B76">
        <w:rPr>
          <w:rFonts w:ascii="Arial" w:hAnsi="Arial" w:cs="Arial"/>
          <w:i/>
          <w:lang w:val="en-US" w:eastAsia="es-ES"/>
        </w:rPr>
        <w:t xml:space="preserve"> </w:t>
      </w:r>
      <w:proofErr w:type="spellStart"/>
      <w:r w:rsidRPr="00361B76">
        <w:rPr>
          <w:rFonts w:ascii="Arial" w:hAnsi="Arial" w:cs="Arial"/>
          <w:i/>
          <w:lang w:val="en-US" w:eastAsia="es-ES"/>
        </w:rPr>
        <w:t>Applicata</w:t>
      </w:r>
      <w:proofErr w:type="spellEnd"/>
      <w:r w:rsidRPr="00361B76">
        <w:rPr>
          <w:rFonts w:ascii="Arial" w:hAnsi="Arial" w:cs="Arial"/>
          <w:lang w:val="en-US" w:eastAsia="es-ES"/>
        </w:rPr>
        <w:t>, 1, 10</w:t>
      </w:r>
    </w:p>
    <w:p w:rsidR="002A23C4" w:rsidRPr="00361B76" w:rsidRDefault="002A23C4" w:rsidP="00361B76">
      <w:pPr>
        <w:spacing w:line="360" w:lineRule="auto"/>
        <w:ind w:left="709" w:hanging="709"/>
        <w:jc w:val="both"/>
        <w:rPr>
          <w:rFonts w:ascii="Arial" w:hAnsi="Arial" w:cs="Arial"/>
          <w:lang w:eastAsia="es-ES"/>
        </w:rPr>
      </w:pPr>
      <w:r w:rsidRPr="00361B76">
        <w:rPr>
          <w:rFonts w:ascii="Arial" w:hAnsi="Arial" w:cs="Arial"/>
          <w:lang w:eastAsia="es-ES"/>
        </w:rPr>
        <w:t xml:space="preserve">Hayes, R., Rice, S., Amos, B., </w:t>
      </w:r>
      <w:r w:rsidRPr="00361B76">
        <w:rPr>
          <w:rFonts w:ascii="Arial" w:hAnsi="Arial" w:cs="Arial"/>
          <w:lang w:val="es-US" w:eastAsia="es-ES"/>
        </w:rPr>
        <w:t xml:space="preserve">&amp; </w:t>
      </w:r>
      <w:proofErr w:type="spellStart"/>
      <w:r w:rsidRPr="00361B76">
        <w:rPr>
          <w:rFonts w:ascii="Arial" w:hAnsi="Arial" w:cs="Arial"/>
          <w:lang w:eastAsia="es-ES"/>
        </w:rPr>
        <w:t>Leemon</w:t>
      </w:r>
      <w:proofErr w:type="spellEnd"/>
      <w:r w:rsidRPr="00361B76">
        <w:rPr>
          <w:rFonts w:ascii="Arial" w:hAnsi="Arial" w:cs="Arial"/>
          <w:lang w:eastAsia="es-ES"/>
        </w:rPr>
        <w:t xml:space="preserve">, D. (2015). </w:t>
      </w:r>
      <w:r w:rsidRPr="00361B76">
        <w:rPr>
          <w:rFonts w:ascii="Arial" w:hAnsi="Arial" w:cs="Arial"/>
          <w:lang w:val="en-US" w:eastAsia="es-ES"/>
        </w:rPr>
        <w:t xml:space="preserve">Increased attractiveness of honey bee hive product volatiles to adult small hive beetle, </w:t>
      </w:r>
      <w:r w:rsidRPr="00361B76">
        <w:rPr>
          <w:rFonts w:ascii="Arial" w:hAnsi="Arial" w:cs="Arial"/>
          <w:i/>
          <w:lang w:val="en-US" w:eastAsia="es-ES"/>
        </w:rPr>
        <w:t xml:space="preserve">Aethina </w:t>
      </w:r>
      <w:proofErr w:type="spellStart"/>
      <w:r w:rsidRPr="00361B76">
        <w:rPr>
          <w:rFonts w:ascii="Arial" w:hAnsi="Arial" w:cs="Arial"/>
          <w:i/>
          <w:lang w:val="en-US" w:eastAsia="es-ES"/>
        </w:rPr>
        <w:t>tumida</w:t>
      </w:r>
      <w:proofErr w:type="spellEnd"/>
      <w:r w:rsidRPr="00361B76">
        <w:rPr>
          <w:rFonts w:ascii="Arial" w:hAnsi="Arial" w:cs="Arial"/>
          <w:lang w:val="en-US" w:eastAsia="es-ES"/>
        </w:rPr>
        <w:t xml:space="preserve">, resulting from small hive beetle larval infestation. </w:t>
      </w:r>
      <w:proofErr w:type="spellStart"/>
      <w:r w:rsidRPr="00361B76">
        <w:rPr>
          <w:rFonts w:ascii="Arial" w:hAnsi="Arial" w:cs="Arial"/>
          <w:i/>
          <w:lang w:eastAsia="es-ES"/>
        </w:rPr>
        <w:t>Entomol</w:t>
      </w:r>
      <w:proofErr w:type="spellEnd"/>
      <w:r w:rsidRPr="00361B76">
        <w:rPr>
          <w:rFonts w:ascii="Arial" w:hAnsi="Arial" w:cs="Arial"/>
          <w:i/>
          <w:lang w:eastAsia="es-ES"/>
        </w:rPr>
        <w:t xml:space="preserve">. </w:t>
      </w:r>
      <w:proofErr w:type="spellStart"/>
      <w:r w:rsidRPr="00361B76">
        <w:rPr>
          <w:rFonts w:ascii="Arial" w:hAnsi="Arial" w:cs="Arial"/>
          <w:i/>
          <w:lang w:eastAsia="es-ES"/>
        </w:rPr>
        <w:t>Exp</w:t>
      </w:r>
      <w:proofErr w:type="spellEnd"/>
      <w:r w:rsidRPr="00361B76">
        <w:rPr>
          <w:rFonts w:ascii="Arial" w:hAnsi="Arial" w:cs="Arial"/>
          <w:i/>
          <w:lang w:eastAsia="es-ES"/>
        </w:rPr>
        <w:t xml:space="preserve">. </w:t>
      </w:r>
      <w:proofErr w:type="spellStart"/>
      <w:r w:rsidRPr="00361B76">
        <w:rPr>
          <w:rFonts w:ascii="Arial" w:hAnsi="Arial" w:cs="Arial"/>
          <w:i/>
          <w:lang w:eastAsia="es-ES"/>
        </w:rPr>
        <w:t>Appl</w:t>
      </w:r>
      <w:proofErr w:type="spellEnd"/>
      <w:r w:rsidRPr="00361B76">
        <w:rPr>
          <w:rFonts w:ascii="Arial" w:hAnsi="Arial" w:cs="Arial"/>
          <w:lang w:eastAsia="es-ES"/>
        </w:rPr>
        <w:t xml:space="preserve">., 155, 240-248. </w:t>
      </w:r>
    </w:p>
    <w:p w:rsidR="002A23C4" w:rsidRPr="00361B76" w:rsidRDefault="002A23C4" w:rsidP="00361B76">
      <w:pPr>
        <w:spacing w:line="360" w:lineRule="auto"/>
        <w:ind w:left="709" w:hanging="709"/>
        <w:jc w:val="both"/>
        <w:rPr>
          <w:rFonts w:ascii="Arial" w:hAnsi="Arial" w:cs="Arial"/>
          <w:lang w:eastAsia="es-ES"/>
        </w:rPr>
      </w:pPr>
      <w:r w:rsidRPr="00361B76">
        <w:rPr>
          <w:rFonts w:ascii="Arial" w:hAnsi="Arial" w:cs="Arial"/>
          <w:lang w:val="en-US" w:eastAsia="es-ES"/>
        </w:rPr>
        <w:t xml:space="preserve">Neumann, P., Pettis, J.S., &amp; </w:t>
      </w:r>
      <w:proofErr w:type="spellStart"/>
      <w:r w:rsidRPr="00361B76">
        <w:rPr>
          <w:rFonts w:ascii="Arial" w:hAnsi="Arial" w:cs="Arial"/>
          <w:lang w:val="en-US" w:eastAsia="es-ES"/>
        </w:rPr>
        <w:t>Schuafer</w:t>
      </w:r>
      <w:proofErr w:type="spellEnd"/>
      <w:r w:rsidRPr="00361B76">
        <w:rPr>
          <w:rFonts w:ascii="Arial" w:hAnsi="Arial" w:cs="Arial"/>
          <w:lang w:val="en-US" w:eastAsia="es-ES"/>
        </w:rPr>
        <w:t xml:space="preserve">, M.O. (2016). Quo </w:t>
      </w:r>
      <w:proofErr w:type="spellStart"/>
      <w:r w:rsidRPr="00361B76">
        <w:rPr>
          <w:rFonts w:ascii="Arial" w:hAnsi="Arial" w:cs="Arial"/>
          <w:lang w:val="en-US" w:eastAsia="es-ES"/>
        </w:rPr>
        <w:t>vadis</w:t>
      </w:r>
      <w:proofErr w:type="spellEnd"/>
      <w:r w:rsidRPr="00361B76">
        <w:rPr>
          <w:rFonts w:ascii="Arial" w:hAnsi="Arial" w:cs="Arial"/>
          <w:lang w:val="en-US" w:eastAsia="es-ES"/>
        </w:rPr>
        <w:t xml:space="preserve"> Aethina </w:t>
      </w:r>
      <w:proofErr w:type="spellStart"/>
      <w:r w:rsidRPr="00361B76">
        <w:rPr>
          <w:rFonts w:ascii="Arial" w:hAnsi="Arial" w:cs="Arial"/>
          <w:lang w:val="en-US" w:eastAsia="es-ES"/>
        </w:rPr>
        <w:t>tumida</w:t>
      </w:r>
      <w:proofErr w:type="spellEnd"/>
      <w:r w:rsidRPr="00361B76">
        <w:rPr>
          <w:rFonts w:ascii="Arial" w:hAnsi="Arial" w:cs="Arial"/>
          <w:lang w:val="en-US" w:eastAsia="es-ES"/>
        </w:rPr>
        <w:t xml:space="preserve">? Biology and control of small hive beetles. </w:t>
      </w:r>
      <w:proofErr w:type="spellStart"/>
      <w:r w:rsidRPr="00361B76">
        <w:rPr>
          <w:rFonts w:ascii="Arial" w:hAnsi="Arial" w:cs="Arial"/>
          <w:i/>
          <w:lang w:eastAsia="es-ES"/>
        </w:rPr>
        <w:t>Apidologie</w:t>
      </w:r>
      <w:proofErr w:type="spellEnd"/>
      <w:r w:rsidRPr="00361B76">
        <w:rPr>
          <w:rFonts w:ascii="Arial" w:hAnsi="Arial" w:cs="Arial"/>
          <w:lang w:eastAsia="es-ES"/>
        </w:rPr>
        <w:t>, 47, (3), 427–66.</w:t>
      </w:r>
    </w:p>
    <w:p w:rsidR="002A23C4" w:rsidRPr="00361B76" w:rsidRDefault="002A23C4" w:rsidP="00361B76">
      <w:pPr>
        <w:spacing w:line="360" w:lineRule="auto"/>
        <w:ind w:left="709" w:hanging="709"/>
        <w:jc w:val="both"/>
        <w:rPr>
          <w:rFonts w:ascii="Arial" w:hAnsi="Arial" w:cs="Arial"/>
          <w:lang w:val="en-US" w:eastAsia="es-ES"/>
        </w:rPr>
      </w:pPr>
      <w:proofErr w:type="spellStart"/>
      <w:r w:rsidRPr="00361B76">
        <w:rPr>
          <w:rFonts w:ascii="Arial" w:hAnsi="Arial" w:cs="Arial"/>
          <w:lang w:val="es-US" w:eastAsia="es-ES"/>
        </w:rPr>
        <w:t>Terrab</w:t>
      </w:r>
      <w:proofErr w:type="spellEnd"/>
      <w:r w:rsidRPr="00361B76">
        <w:rPr>
          <w:rFonts w:ascii="Arial" w:hAnsi="Arial" w:cs="Arial"/>
          <w:lang w:val="es-US" w:eastAsia="es-ES"/>
        </w:rPr>
        <w:t xml:space="preserve">, A., </w:t>
      </w:r>
      <w:proofErr w:type="spellStart"/>
      <w:r w:rsidRPr="00361B76">
        <w:rPr>
          <w:rFonts w:ascii="Arial" w:hAnsi="Arial" w:cs="Arial"/>
          <w:lang w:val="es-US" w:eastAsia="es-ES"/>
        </w:rPr>
        <w:t>Recamales</w:t>
      </w:r>
      <w:proofErr w:type="spellEnd"/>
      <w:r w:rsidRPr="00361B76">
        <w:rPr>
          <w:rFonts w:ascii="Arial" w:hAnsi="Arial" w:cs="Arial"/>
          <w:lang w:val="es-US" w:eastAsia="es-ES"/>
        </w:rPr>
        <w:t xml:space="preserve">, A. F., </w:t>
      </w:r>
      <w:proofErr w:type="spellStart"/>
      <w:r w:rsidRPr="00361B76">
        <w:rPr>
          <w:rFonts w:ascii="Arial" w:hAnsi="Arial" w:cs="Arial"/>
          <w:lang w:val="es-US" w:eastAsia="es-ES"/>
        </w:rPr>
        <w:t>Gonzalez</w:t>
      </w:r>
      <w:proofErr w:type="spellEnd"/>
      <w:r w:rsidRPr="00361B76">
        <w:rPr>
          <w:rFonts w:ascii="Arial" w:hAnsi="Arial" w:cs="Arial"/>
          <w:lang w:val="es-US" w:eastAsia="es-ES"/>
        </w:rPr>
        <w:t xml:space="preserve"> M, M. L. &amp; Heredia, F. J. (2005). </w:t>
      </w:r>
      <w:r w:rsidRPr="00361B76">
        <w:rPr>
          <w:rFonts w:ascii="Arial" w:hAnsi="Arial" w:cs="Arial"/>
          <w:lang w:val="en-US" w:eastAsia="es-ES"/>
        </w:rPr>
        <w:t xml:space="preserve">Contribution to the study of avocado honeys by their mineral contents using inductively coupled plasma optical emission spectrometry. </w:t>
      </w:r>
      <w:r w:rsidRPr="00C60395">
        <w:rPr>
          <w:rFonts w:ascii="Arial" w:hAnsi="Arial" w:cs="Arial"/>
          <w:i/>
          <w:lang w:val="en-US" w:eastAsia="es-ES"/>
        </w:rPr>
        <w:t>Food Chemistry</w:t>
      </w:r>
      <w:r w:rsidRPr="00361B76">
        <w:rPr>
          <w:rFonts w:ascii="Arial" w:hAnsi="Arial" w:cs="Arial"/>
          <w:lang w:val="en-US" w:eastAsia="es-ES"/>
        </w:rPr>
        <w:t xml:space="preserve">, 92 (2), 305-309. </w:t>
      </w:r>
    </w:p>
    <w:p w:rsidR="00C60395" w:rsidRPr="00C60395" w:rsidRDefault="002A23C4" w:rsidP="00C60395">
      <w:pPr>
        <w:spacing w:line="360" w:lineRule="auto"/>
        <w:ind w:left="709" w:hanging="709"/>
        <w:jc w:val="both"/>
        <w:rPr>
          <w:rFonts w:ascii="Arial" w:hAnsi="Arial" w:cs="Arial"/>
          <w:lang w:val="es-US" w:eastAsia="es-ES"/>
        </w:rPr>
      </w:pPr>
      <w:r w:rsidRPr="00361B76">
        <w:rPr>
          <w:rFonts w:ascii="Arial" w:hAnsi="Arial" w:cs="Arial"/>
          <w:lang w:val="es-US" w:eastAsia="es-ES"/>
        </w:rPr>
        <w:lastRenderedPageBreak/>
        <w:t xml:space="preserve">Velásquez, A., Gil, J., </w:t>
      </w:r>
      <w:proofErr w:type="spellStart"/>
      <w:r w:rsidRPr="00361B76">
        <w:rPr>
          <w:rFonts w:ascii="Arial" w:hAnsi="Arial" w:cs="Arial"/>
          <w:lang w:val="es-US" w:eastAsia="es-ES"/>
        </w:rPr>
        <w:t>Furrego</w:t>
      </w:r>
      <w:proofErr w:type="spellEnd"/>
      <w:r w:rsidRPr="00361B76">
        <w:rPr>
          <w:rFonts w:ascii="Arial" w:hAnsi="Arial" w:cs="Arial"/>
          <w:lang w:val="es-US" w:eastAsia="es-ES"/>
        </w:rPr>
        <w:t xml:space="preserve">, J., Durango, D., &amp; Castañeda, I. (2019). </w:t>
      </w:r>
      <w:r w:rsidRPr="00C60395">
        <w:rPr>
          <w:rFonts w:ascii="Arial" w:hAnsi="Arial" w:cs="Arial"/>
          <w:lang w:val="es-US" w:eastAsia="es-ES"/>
        </w:rPr>
        <w:t>Análisis palinológico y fisicoquímico de miel de abejas (</w:t>
      </w:r>
      <w:r w:rsidR="00C60395" w:rsidRPr="00C60395">
        <w:rPr>
          <w:rFonts w:ascii="Arial" w:hAnsi="Arial" w:cs="Arial"/>
          <w:i/>
          <w:lang w:val="es-US" w:eastAsia="es-ES"/>
        </w:rPr>
        <w:t>A</w:t>
      </w:r>
      <w:r w:rsidRPr="00C60395">
        <w:rPr>
          <w:rFonts w:ascii="Arial" w:hAnsi="Arial" w:cs="Arial"/>
          <w:i/>
          <w:lang w:val="es-US" w:eastAsia="es-ES"/>
        </w:rPr>
        <w:t xml:space="preserve">pis </w:t>
      </w:r>
      <w:proofErr w:type="spellStart"/>
      <w:r w:rsidRPr="00C60395">
        <w:rPr>
          <w:rFonts w:ascii="Arial" w:hAnsi="Arial" w:cs="Arial"/>
          <w:i/>
          <w:lang w:val="es-US" w:eastAsia="es-ES"/>
        </w:rPr>
        <w:t>mellifera</w:t>
      </w:r>
      <w:proofErr w:type="spellEnd"/>
      <w:r w:rsidR="00C60395">
        <w:rPr>
          <w:rFonts w:ascii="Arial" w:hAnsi="Arial" w:cs="Arial"/>
          <w:lang w:val="es-US" w:eastAsia="es-ES"/>
        </w:rPr>
        <w:t xml:space="preserve"> L</w:t>
      </w:r>
      <w:r w:rsidRPr="00C60395">
        <w:rPr>
          <w:rFonts w:ascii="Arial" w:hAnsi="Arial" w:cs="Arial"/>
          <w:lang w:val="es-US" w:eastAsia="es-ES"/>
        </w:rPr>
        <w:t>.) procedente de algunos municipios del oriente y suroeste de Antioquia (Colombia). Revista de la Facultad de Ciencias Universidad Nacional de Colombia, 2 (5), 65-87</w:t>
      </w:r>
    </w:p>
    <w:p w:rsidR="00EC0289" w:rsidRPr="00C60395" w:rsidRDefault="00C60395" w:rsidP="00C60395">
      <w:pPr>
        <w:spacing w:line="360" w:lineRule="auto"/>
        <w:ind w:left="709" w:hanging="709"/>
        <w:jc w:val="both"/>
        <w:rPr>
          <w:rFonts w:ascii="Arial" w:hAnsi="Arial" w:cs="Arial"/>
          <w:lang w:val="en-US" w:eastAsia="es-ES"/>
        </w:rPr>
      </w:pPr>
      <w:r w:rsidRPr="00C60395">
        <w:rPr>
          <w:rFonts w:ascii="Arial" w:hAnsi="Arial" w:cs="Arial"/>
          <w:lang w:val="es-US" w:eastAsia="es-ES"/>
        </w:rPr>
        <w:t>Velásquez</w:t>
      </w:r>
      <w:r w:rsidR="00EC0289" w:rsidRPr="00C60395">
        <w:rPr>
          <w:rFonts w:ascii="Arial" w:hAnsi="Arial" w:cs="Arial"/>
          <w:lang w:val="es-US" w:eastAsia="es-ES"/>
        </w:rPr>
        <w:t xml:space="preserve"> Giraldo, A. V. (2013). </w:t>
      </w:r>
      <w:r w:rsidRPr="00C60395">
        <w:rPr>
          <w:rFonts w:ascii="Arial" w:hAnsi="Arial" w:cs="Arial"/>
          <w:lang w:val="es-US" w:eastAsia="es-ES"/>
        </w:rPr>
        <w:t>Caracterización fisicoquímica</w:t>
      </w:r>
      <w:r w:rsidR="00EC0289" w:rsidRPr="00C60395">
        <w:rPr>
          <w:rFonts w:ascii="Arial" w:hAnsi="Arial" w:cs="Arial"/>
          <w:lang w:val="es-US" w:eastAsia="es-ES"/>
        </w:rPr>
        <w:t xml:space="preserve"> y </w:t>
      </w:r>
      <w:r w:rsidRPr="00C60395">
        <w:rPr>
          <w:rFonts w:ascii="Arial" w:hAnsi="Arial" w:cs="Arial"/>
          <w:lang w:val="es-US" w:eastAsia="es-ES"/>
        </w:rPr>
        <w:t>microbiológica</w:t>
      </w:r>
      <w:r w:rsidR="00EC0289" w:rsidRPr="00C60395">
        <w:rPr>
          <w:rFonts w:ascii="Arial" w:hAnsi="Arial" w:cs="Arial"/>
          <w:lang w:val="es-US" w:eastAsia="es-ES"/>
        </w:rPr>
        <w:t xml:space="preserve"> de la</w:t>
      </w:r>
      <w:r>
        <w:rPr>
          <w:rFonts w:ascii="Arial" w:hAnsi="Arial" w:cs="Arial"/>
          <w:lang w:val="es-US" w:eastAsia="es-ES"/>
        </w:rPr>
        <w:t xml:space="preserve"> </w:t>
      </w:r>
      <w:r w:rsidR="00EC0289" w:rsidRPr="00C60395">
        <w:rPr>
          <w:rFonts w:ascii="Arial" w:hAnsi="Arial" w:cs="Arial"/>
          <w:lang w:val="es-US" w:eastAsia="es-ES"/>
        </w:rPr>
        <w:t xml:space="preserve">miel de </w:t>
      </w:r>
      <w:r w:rsidR="00EC0289" w:rsidRPr="00C60395">
        <w:rPr>
          <w:rFonts w:ascii="Arial" w:hAnsi="Arial" w:cs="Arial"/>
          <w:i/>
          <w:lang w:val="es-US" w:eastAsia="es-ES"/>
        </w:rPr>
        <w:t>Apis</w:t>
      </w:r>
      <w:r w:rsidRPr="00C60395">
        <w:rPr>
          <w:rFonts w:ascii="Arial" w:hAnsi="Arial" w:cs="Arial"/>
          <w:i/>
          <w:lang w:val="es-US" w:eastAsia="es-ES"/>
        </w:rPr>
        <w:t xml:space="preserve"> </w:t>
      </w:r>
      <w:proofErr w:type="spellStart"/>
      <w:r w:rsidR="00EC0289" w:rsidRPr="00C60395">
        <w:rPr>
          <w:rFonts w:ascii="Arial" w:hAnsi="Arial" w:cs="Arial"/>
          <w:i/>
          <w:lang w:val="es-US" w:eastAsia="es-ES"/>
        </w:rPr>
        <w:t>mellifera</w:t>
      </w:r>
      <w:proofErr w:type="spellEnd"/>
      <w:r w:rsidR="00EC0289" w:rsidRPr="00C60395">
        <w:rPr>
          <w:rFonts w:ascii="Arial" w:hAnsi="Arial" w:cs="Arial"/>
          <w:lang w:val="es-US" w:eastAsia="es-ES"/>
        </w:rPr>
        <w:t xml:space="preserve"> </w:t>
      </w:r>
      <w:proofErr w:type="spellStart"/>
      <w:r w:rsidR="00EC0289" w:rsidRPr="00C60395">
        <w:rPr>
          <w:rFonts w:ascii="Arial" w:hAnsi="Arial" w:cs="Arial"/>
          <w:lang w:val="es-US" w:eastAsia="es-ES"/>
        </w:rPr>
        <w:t>sp</w:t>
      </w:r>
      <w:proofErr w:type="spellEnd"/>
      <w:r w:rsidR="00EC0289" w:rsidRPr="00C60395">
        <w:rPr>
          <w:rFonts w:ascii="Arial" w:hAnsi="Arial" w:cs="Arial"/>
          <w:lang w:val="es-US" w:eastAsia="es-ES"/>
        </w:rPr>
        <w:t xml:space="preserve">. </w:t>
      </w:r>
      <w:proofErr w:type="gramStart"/>
      <w:r w:rsidR="00EC0289" w:rsidRPr="00C60395">
        <w:rPr>
          <w:rFonts w:ascii="Arial" w:hAnsi="Arial" w:cs="Arial"/>
          <w:lang w:val="es-US" w:eastAsia="es-ES"/>
        </w:rPr>
        <w:t>del</w:t>
      </w:r>
      <w:proofErr w:type="gramEnd"/>
      <w:r w:rsidR="00EC0289" w:rsidRPr="00C60395">
        <w:rPr>
          <w:rFonts w:ascii="Arial" w:hAnsi="Arial" w:cs="Arial"/>
          <w:lang w:val="es-US" w:eastAsia="es-ES"/>
        </w:rPr>
        <w:t xml:space="preserve"> Suroeste de Antioquia, Colombia. </w:t>
      </w:r>
      <w:r w:rsidRPr="00C60395">
        <w:rPr>
          <w:rFonts w:ascii="Arial" w:hAnsi="Arial" w:cs="Arial"/>
          <w:lang w:val="es-US" w:eastAsia="es-ES"/>
        </w:rPr>
        <w:t xml:space="preserve">Ingeniería y Ciencia, </w:t>
      </w:r>
      <w:r w:rsidR="00EC0289" w:rsidRPr="00C60395">
        <w:rPr>
          <w:rFonts w:ascii="Arial" w:hAnsi="Arial" w:cs="Arial"/>
          <w:lang w:val="es-US" w:eastAsia="es-ES"/>
        </w:rPr>
        <w:t>9 (18</w:t>
      </w:r>
      <w:r w:rsidRPr="00C60395">
        <w:rPr>
          <w:rFonts w:ascii="Arial" w:hAnsi="Arial" w:cs="Arial"/>
          <w:lang w:val="es-US" w:eastAsia="es-ES"/>
        </w:rPr>
        <w:t>), 61-74</w:t>
      </w:r>
    </w:p>
    <w:sectPr w:rsidR="00EC0289" w:rsidRPr="00C60395" w:rsidSect="006C0AE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60C66"/>
    <w:multiLevelType w:val="hybridMultilevel"/>
    <w:tmpl w:val="D9D8DB6A"/>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CB"/>
    <w:rsid w:val="000103A0"/>
    <w:rsid w:val="00082BBA"/>
    <w:rsid w:val="0013779E"/>
    <w:rsid w:val="00151200"/>
    <w:rsid w:val="001A63EC"/>
    <w:rsid w:val="001F34CB"/>
    <w:rsid w:val="00200C0D"/>
    <w:rsid w:val="002A23C4"/>
    <w:rsid w:val="002E51F2"/>
    <w:rsid w:val="003001F8"/>
    <w:rsid w:val="00301AE6"/>
    <w:rsid w:val="0034079F"/>
    <w:rsid w:val="00361B76"/>
    <w:rsid w:val="00430F92"/>
    <w:rsid w:val="004946C1"/>
    <w:rsid w:val="00553BC8"/>
    <w:rsid w:val="00580CE6"/>
    <w:rsid w:val="006421CB"/>
    <w:rsid w:val="00664CBB"/>
    <w:rsid w:val="006708BD"/>
    <w:rsid w:val="006C0AE7"/>
    <w:rsid w:val="0072451D"/>
    <w:rsid w:val="007B1BFC"/>
    <w:rsid w:val="00855BF2"/>
    <w:rsid w:val="008A3823"/>
    <w:rsid w:val="009B640D"/>
    <w:rsid w:val="009F3DB0"/>
    <w:rsid w:val="00A23233"/>
    <w:rsid w:val="00A440D3"/>
    <w:rsid w:val="00A702E4"/>
    <w:rsid w:val="00A807BF"/>
    <w:rsid w:val="00A816B9"/>
    <w:rsid w:val="00AE6556"/>
    <w:rsid w:val="00B02EC4"/>
    <w:rsid w:val="00B53C52"/>
    <w:rsid w:val="00C56EC4"/>
    <w:rsid w:val="00C60395"/>
    <w:rsid w:val="00C73F5E"/>
    <w:rsid w:val="00D320AA"/>
    <w:rsid w:val="00DD692B"/>
    <w:rsid w:val="00E47CC9"/>
    <w:rsid w:val="00EC0289"/>
    <w:rsid w:val="00EF4221"/>
    <w:rsid w:val="00F420F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E327F-9EBD-4246-8D80-FCCFBBE2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4C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1F34CB"/>
    <w:pPr>
      <w:spacing w:before="100" w:beforeAutospacing="1" w:after="100" w:afterAutospacing="1"/>
    </w:pPr>
    <w:rPr>
      <w:rFonts w:ascii="Arial" w:hAnsi="Arial" w:cs="Arial"/>
      <w:sz w:val="20"/>
      <w:szCs w:val="20"/>
      <w:lang w:val="en-US" w:eastAsia="en-US"/>
    </w:rPr>
  </w:style>
  <w:style w:type="paragraph" w:styleId="Prrafodelista">
    <w:name w:val="List Paragraph"/>
    <w:basedOn w:val="Normal"/>
    <w:uiPriority w:val="34"/>
    <w:qFormat/>
    <w:rsid w:val="001F34CB"/>
    <w:pPr>
      <w:ind w:left="708"/>
    </w:pPr>
  </w:style>
  <w:style w:type="paragraph" w:styleId="Puesto">
    <w:name w:val="Title"/>
    <w:aliases w:val="YAYABO-Title"/>
    <w:basedOn w:val="Normal"/>
    <w:link w:val="PuestoCar"/>
    <w:qFormat/>
    <w:rsid w:val="001F34CB"/>
    <w:pPr>
      <w:spacing w:before="240" w:after="120" w:line="360" w:lineRule="auto"/>
      <w:jc w:val="center"/>
    </w:pPr>
    <w:rPr>
      <w:rFonts w:ascii="Arial" w:hAnsi="Arial"/>
      <w:b/>
      <w:bCs/>
      <w:lang w:val="es-ES" w:eastAsia="es-ES"/>
    </w:rPr>
  </w:style>
  <w:style w:type="character" w:customStyle="1" w:styleId="PuestoCar">
    <w:name w:val="Puesto Car"/>
    <w:aliases w:val="YAYABO-Title Car"/>
    <w:basedOn w:val="Fuentedeprrafopredeter"/>
    <w:link w:val="Puesto"/>
    <w:rsid w:val="001F34CB"/>
    <w:rPr>
      <w:rFonts w:ascii="Arial" w:eastAsia="Times New Roman" w:hAnsi="Arial" w:cs="Times New Roman"/>
      <w:b/>
      <w:bCs/>
      <w:sz w:val="24"/>
      <w:szCs w:val="24"/>
      <w:lang w:val="es-ES" w:eastAsia="es-ES"/>
    </w:rPr>
  </w:style>
  <w:style w:type="paragraph" w:customStyle="1" w:styleId="YAYABO-Authors">
    <w:name w:val="YAYABO-Authors"/>
    <w:next w:val="YAYABO-Afiliacin"/>
    <w:qFormat/>
    <w:rsid w:val="001F34CB"/>
    <w:pPr>
      <w:spacing w:after="120" w:line="240" w:lineRule="auto"/>
      <w:jc w:val="center"/>
    </w:pPr>
    <w:rPr>
      <w:rFonts w:ascii="Arial" w:eastAsia="Times New Roman" w:hAnsi="Arial" w:cs="Arial"/>
      <w:b/>
      <w:bCs/>
      <w:sz w:val="24"/>
      <w:szCs w:val="24"/>
      <w:lang w:val="en-GB" w:eastAsia="es-ES"/>
    </w:rPr>
  </w:style>
  <w:style w:type="paragraph" w:customStyle="1" w:styleId="YAYABO-Afiliacin">
    <w:name w:val="YAYABO-Afiliación"/>
    <w:qFormat/>
    <w:rsid w:val="001F34CB"/>
    <w:pPr>
      <w:spacing w:after="0" w:line="240" w:lineRule="auto"/>
      <w:jc w:val="center"/>
    </w:pPr>
    <w:rPr>
      <w:rFonts w:ascii="Arial" w:eastAsia="Times New Roman" w:hAnsi="Arial" w:cs="Arial"/>
      <w:i/>
      <w:szCs w:val="24"/>
      <w:lang w:val="en-GB" w:eastAsia="es-ES"/>
    </w:rPr>
  </w:style>
  <w:style w:type="paragraph" w:customStyle="1" w:styleId="YAYABO-PaperTitle-english">
    <w:name w:val="YAYABO-Paper Title-english"/>
    <w:basedOn w:val="Normal"/>
    <w:next w:val="YAYABO-Authors"/>
    <w:qFormat/>
    <w:rsid w:val="001F34CB"/>
    <w:pPr>
      <w:spacing w:before="240" w:after="240"/>
      <w:jc w:val="center"/>
    </w:pPr>
    <w:rPr>
      <w:rFonts w:ascii="Arial" w:hAnsi="Arial" w:cs="Arial"/>
      <w:bCs/>
      <w:i/>
      <w:caps/>
      <w:lang w:val="en-US" w:eastAsia="es-ES"/>
    </w:rPr>
  </w:style>
  <w:style w:type="paragraph" w:customStyle="1" w:styleId="YAYABO-email">
    <w:name w:val="YAYABO-email"/>
    <w:qFormat/>
    <w:rsid w:val="001F34CB"/>
    <w:pPr>
      <w:spacing w:after="480" w:line="240" w:lineRule="auto"/>
      <w:jc w:val="center"/>
    </w:pPr>
    <w:rPr>
      <w:rFonts w:ascii="Arial" w:eastAsia="Times New Roman" w:hAnsi="Arial" w:cs="Arial"/>
      <w:i/>
      <w:iCs/>
      <w:szCs w:val="24"/>
      <w:lang w:val="en-GB" w:eastAsia="es-ES"/>
    </w:rPr>
  </w:style>
  <w:style w:type="character" w:styleId="Hipervnculo">
    <w:name w:val="Hyperlink"/>
    <w:basedOn w:val="Fuentedeprrafopredeter"/>
    <w:uiPriority w:val="99"/>
    <w:unhideWhenUsed/>
    <w:rsid w:val="001F34CB"/>
    <w:rPr>
      <w:color w:val="0563C1" w:themeColor="hyperlink"/>
      <w:u w:val="single"/>
    </w:rPr>
  </w:style>
  <w:style w:type="character" w:customStyle="1" w:styleId="A4">
    <w:name w:val="A4"/>
    <w:uiPriority w:val="99"/>
    <w:rsid w:val="00A807BF"/>
    <w:rPr>
      <w:rFonts w:cs="Minion Pro"/>
      <w:color w:val="221E1F"/>
      <w:sz w:val="28"/>
      <w:szCs w:val="28"/>
    </w:rPr>
  </w:style>
  <w:style w:type="table" w:styleId="Tablaconcuadrcula">
    <w:name w:val="Table Grid"/>
    <w:basedOn w:val="Tablanormal"/>
    <w:uiPriority w:val="39"/>
    <w:rsid w:val="00301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eranoleidy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nderfc@uniss.edu.cu" TargetMode="External"/><Relationship Id="rId5" Type="http://schemas.openxmlformats.org/officeDocument/2006/relationships/hyperlink" Target="mailto:yudmilag80@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14</Pages>
  <Words>3799</Words>
  <Characters>20897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Yurky</dc:creator>
  <cp:keywords/>
  <dc:description/>
  <cp:lastModifiedBy>Yurky</cp:lastModifiedBy>
  <cp:revision>54</cp:revision>
  <dcterms:created xsi:type="dcterms:W3CDTF">2021-10-04T23:59:00Z</dcterms:created>
  <dcterms:modified xsi:type="dcterms:W3CDTF">2021-10-05T02:39:00Z</dcterms:modified>
</cp:coreProperties>
</file>