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E8" w:rsidRPr="00700DF8" w:rsidRDefault="00A629B1" w:rsidP="00B818E8">
      <w:pPr>
        <w:pStyle w:val="YAYABO-PaperTitle"/>
        <w:rPr>
          <w:lang w:val="es-CU"/>
        </w:rPr>
      </w:pPr>
      <w:r w:rsidRPr="00A629B1">
        <w:rPr>
          <w:lang w:val="es-CU"/>
        </w:rPr>
        <w:t>RESULTADOS SOBRE LA UTILIZACIÓN DE BIOPR</w:t>
      </w:r>
      <w:r w:rsidR="008A530A">
        <w:rPr>
          <w:lang w:val="es-CU"/>
        </w:rPr>
        <w:t>ODUCTOS EN ESPECIES FORESTALES</w:t>
      </w:r>
    </w:p>
    <w:p w:rsidR="006041CC" w:rsidRPr="00700DF8" w:rsidRDefault="00A629B1" w:rsidP="00B818E8">
      <w:pPr>
        <w:pStyle w:val="YAYABO-PaperTitle-english"/>
        <w:rPr>
          <w:lang w:val="es-CU"/>
        </w:rPr>
      </w:pPr>
      <w:r w:rsidRPr="00A629B1">
        <w:rPr>
          <w:lang w:val="es-CU"/>
        </w:rPr>
        <w:t xml:space="preserve">RESULTS ON THE USE OF BIOPRODUCTS IN FOREST SPECIES. </w:t>
      </w:r>
    </w:p>
    <w:p w:rsidR="008A530A" w:rsidRDefault="00A629B1" w:rsidP="005B747F">
      <w:pPr>
        <w:pStyle w:val="YAYABO-Authors"/>
        <w:rPr>
          <w:lang w:val="es-CU"/>
        </w:rPr>
      </w:pPr>
      <w:r w:rsidRPr="00A629B1">
        <w:rPr>
          <w:lang w:val="es-CU"/>
        </w:rPr>
        <w:t xml:space="preserve">Ana Gertrudis Trocones Boggiano </w:t>
      </w:r>
      <w:r w:rsidR="009016FB" w:rsidRPr="00700DF8">
        <w:rPr>
          <w:lang w:val="es-CU"/>
        </w:rPr>
        <w:t xml:space="preserve"> </w:t>
      </w:r>
      <w:r w:rsidR="0099565A" w:rsidRPr="00A629B1">
        <w:rPr>
          <w:lang w:val="es-CU"/>
        </w:rPr>
        <w:t>MSc.</w:t>
      </w:r>
      <w:r w:rsidR="0099565A" w:rsidRPr="00700DF8">
        <w:rPr>
          <w:lang w:val="es-CU"/>
        </w:rPr>
        <w:t xml:space="preserve"> </w:t>
      </w:r>
      <w:r w:rsidR="0099565A">
        <w:rPr>
          <w:lang w:val="es-CU"/>
        </w:rPr>
        <w:t>Prof. Asistente</w:t>
      </w:r>
    </w:p>
    <w:p w:rsidR="009016FB" w:rsidRPr="00700DF8" w:rsidRDefault="00982868" w:rsidP="005B747F">
      <w:pPr>
        <w:pStyle w:val="YAYABO-Authors"/>
        <w:rPr>
          <w:lang w:val="es-CU"/>
        </w:rPr>
      </w:pPr>
      <w:hyperlink r:id="rId8" w:history="1">
        <w:r w:rsidR="008A530A" w:rsidRPr="00D77954">
          <w:rPr>
            <w:rStyle w:val="Hipervnculo"/>
          </w:rPr>
          <w:t>http://orcid.org/0000-0001-5769-2165</w:t>
        </w:r>
      </w:hyperlink>
      <w:r w:rsidR="009016FB" w:rsidRPr="00700DF8">
        <w:rPr>
          <w:lang w:val="es-CU"/>
        </w:rPr>
        <w:t>,</w:t>
      </w:r>
      <w:r w:rsidR="005B747F" w:rsidRPr="00700DF8">
        <w:rPr>
          <w:lang w:val="es-CU"/>
        </w:rPr>
        <w:t xml:space="preserve"> </w:t>
      </w:r>
    </w:p>
    <w:p w:rsidR="008A530A" w:rsidRDefault="00A629B1" w:rsidP="005B747F">
      <w:pPr>
        <w:pStyle w:val="YAYABO-Authors"/>
        <w:rPr>
          <w:lang w:val="es-CU"/>
        </w:rPr>
      </w:pPr>
      <w:r w:rsidRPr="00A629B1">
        <w:rPr>
          <w:lang w:val="es-CU"/>
        </w:rPr>
        <w:t xml:space="preserve">Luis Alberto Delgado Fernández </w:t>
      </w:r>
      <w:r w:rsidR="005B747F" w:rsidRPr="00700DF8">
        <w:rPr>
          <w:lang w:val="es-CU"/>
        </w:rPr>
        <w:t xml:space="preserve"> </w:t>
      </w:r>
      <w:r w:rsidR="0099565A" w:rsidRPr="00A629B1">
        <w:rPr>
          <w:lang w:val="es-CU"/>
        </w:rPr>
        <w:t>MSc.</w:t>
      </w:r>
      <w:r w:rsidR="0099565A" w:rsidRPr="00700DF8">
        <w:rPr>
          <w:lang w:val="es-CU"/>
        </w:rPr>
        <w:t xml:space="preserve"> </w:t>
      </w:r>
      <w:r w:rsidR="0099565A">
        <w:rPr>
          <w:lang w:val="es-CU"/>
        </w:rPr>
        <w:t>Prof. Auxiliar</w:t>
      </w:r>
    </w:p>
    <w:p w:rsidR="00A629B1" w:rsidRDefault="0099565A" w:rsidP="005B747F">
      <w:pPr>
        <w:pStyle w:val="YAYABO-Authors"/>
        <w:rPr>
          <w:lang w:val="es-CU"/>
        </w:rPr>
      </w:pPr>
      <w:r>
        <w:rPr>
          <w:lang w:val="es-CU"/>
        </w:rPr>
        <w:t xml:space="preserve"> </w:t>
      </w:r>
      <w:hyperlink r:id="rId9" w:history="1">
        <w:r w:rsidR="008A530A" w:rsidRPr="00D77954">
          <w:rPr>
            <w:rStyle w:val="Hipervnculo"/>
          </w:rPr>
          <w:t>http://orcid.org/0000-</w:t>
        </w:r>
        <w:r w:rsidR="008A530A" w:rsidRPr="00A67F03">
          <w:rPr>
            <w:rStyle w:val="Hipervnculo"/>
          </w:rPr>
          <w:t>0002-4675-1622</w:t>
        </w:r>
      </w:hyperlink>
      <w:r w:rsidR="00A629B1">
        <w:rPr>
          <w:lang w:val="es-CU"/>
        </w:rPr>
        <w:t>,</w:t>
      </w:r>
    </w:p>
    <w:p w:rsidR="00982868" w:rsidRDefault="00A629B1" w:rsidP="00982868">
      <w:pPr>
        <w:jc w:val="center"/>
        <w:rPr>
          <w:b/>
          <w:lang w:val="es-CU"/>
        </w:rPr>
      </w:pPr>
      <w:r w:rsidRPr="00982868">
        <w:rPr>
          <w:b/>
          <w:lang w:val="es-CU"/>
        </w:rPr>
        <w:t xml:space="preserve">Ildefonso Orrantia Cárdenas  </w:t>
      </w:r>
      <w:r w:rsidR="0099565A" w:rsidRPr="00982868">
        <w:rPr>
          <w:b/>
          <w:lang w:val="es-CU"/>
        </w:rPr>
        <w:t>MSc. Prof. Auxiliar</w:t>
      </w:r>
    </w:p>
    <w:p w:rsidR="00982868" w:rsidRPr="00982868" w:rsidRDefault="00982868" w:rsidP="00982868">
      <w:pPr>
        <w:jc w:val="center"/>
        <w:rPr>
          <w:rFonts w:ascii="Verdana" w:hAnsi="Verdana"/>
          <w:b/>
          <w:sz w:val="20"/>
          <w:szCs w:val="20"/>
        </w:rPr>
      </w:pPr>
      <w:hyperlink r:id="rId10" w:history="1">
        <w:r w:rsidRPr="00982868">
          <w:rPr>
            <w:rStyle w:val="Hipervnculo"/>
            <w:rFonts w:cs="Arial"/>
            <w:b/>
          </w:rPr>
          <w:t>https://orcid.org/0000-0003-1904-2879</w:t>
        </w:r>
      </w:hyperlink>
    </w:p>
    <w:p w:rsidR="005B747F" w:rsidRPr="00700DF8" w:rsidRDefault="00A629B1" w:rsidP="005B747F">
      <w:pPr>
        <w:pStyle w:val="YAYABO-Afiliacin"/>
        <w:rPr>
          <w:lang w:val="es-CU"/>
        </w:rPr>
      </w:pPr>
      <w:r w:rsidRPr="00A629B1">
        <w:rPr>
          <w:lang w:val="es-CU"/>
        </w:rPr>
        <w:t>Universidad de Sancti Spíritus “José Martí Pérez”</w:t>
      </w:r>
      <w:r w:rsidR="005B747F" w:rsidRPr="00700DF8">
        <w:rPr>
          <w:lang w:val="es-CU"/>
        </w:rPr>
        <w:t xml:space="preserve"> (</w:t>
      </w:r>
      <w:r>
        <w:rPr>
          <w:lang w:val="es-CU"/>
        </w:rPr>
        <w:t>Cuba</w:t>
      </w:r>
      <w:r w:rsidR="005B747F" w:rsidRPr="00700DF8">
        <w:rPr>
          <w:lang w:val="es-CU"/>
        </w:rPr>
        <w:t xml:space="preserve">) </w:t>
      </w:r>
    </w:p>
    <w:p w:rsidR="005B747F" w:rsidRDefault="005B747F" w:rsidP="005B747F">
      <w:pPr>
        <w:pStyle w:val="YAYABO-email"/>
        <w:rPr>
          <w:lang w:val="es-CU"/>
        </w:rPr>
      </w:pPr>
      <w:r w:rsidRPr="00700DF8">
        <w:rPr>
          <w:lang w:val="es-CU"/>
        </w:rPr>
        <w:t xml:space="preserve">E-mails </w:t>
      </w:r>
      <w:hyperlink r:id="rId11" w:history="1">
        <w:r w:rsidR="00A629B1" w:rsidRPr="00B8363A">
          <w:rPr>
            <w:rStyle w:val="Hipervnculo"/>
            <w:lang w:val="es-CU"/>
          </w:rPr>
          <w:t>anita@uniss.edu.cu</w:t>
        </w:r>
      </w:hyperlink>
      <w:r w:rsidR="00A629B1">
        <w:rPr>
          <w:lang w:val="es-CU"/>
        </w:rPr>
        <w:t xml:space="preserve">, </w:t>
      </w:r>
      <w:hyperlink r:id="rId12" w:history="1">
        <w:r w:rsidR="00A629B1" w:rsidRPr="00B8363A">
          <w:rPr>
            <w:rStyle w:val="Hipervnculo"/>
            <w:lang w:val="es-CU"/>
          </w:rPr>
          <w:t>luisd@uniss.edu.cu</w:t>
        </w:r>
      </w:hyperlink>
      <w:r w:rsidR="00A629B1">
        <w:rPr>
          <w:lang w:val="es-CU"/>
        </w:rPr>
        <w:t xml:space="preserve">, </w:t>
      </w:r>
      <w:hyperlink r:id="rId13" w:history="1">
        <w:r w:rsidR="00A629B1" w:rsidRPr="00B8363A">
          <w:rPr>
            <w:rStyle w:val="Hipervnculo"/>
            <w:lang w:val="es-CU"/>
          </w:rPr>
          <w:t>fonfi@uniss.edu.cu</w:t>
        </w:r>
      </w:hyperlink>
    </w:p>
    <w:p w:rsidR="005B747F" w:rsidRPr="00700DF8" w:rsidRDefault="00B818E8" w:rsidP="005B747F">
      <w:pPr>
        <w:pStyle w:val="Ttulo"/>
        <w:rPr>
          <w:lang w:val="es-CU"/>
        </w:rPr>
      </w:pPr>
      <w:r w:rsidRPr="00700DF8">
        <w:rPr>
          <w:lang w:val="es-CU"/>
        </w:rPr>
        <w:t>Resumen</w:t>
      </w:r>
      <w:r w:rsidR="005B747F" w:rsidRPr="00700DF8">
        <w:rPr>
          <w:lang w:val="es-CU"/>
        </w:rPr>
        <w:t xml:space="preserve"> </w:t>
      </w:r>
    </w:p>
    <w:p w:rsidR="00B818E8" w:rsidRPr="00700DF8" w:rsidRDefault="007F669A" w:rsidP="005B747F">
      <w:pPr>
        <w:rPr>
          <w:lang w:val="es-CU"/>
        </w:rPr>
      </w:pPr>
      <w:r w:rsidRPr="007F669A">
        <w:rPr>
          <w:lang w:val="es-CU"/>
        </w:rPr>
        <w:t xml:space="preserve">Se presentan los principales resultados obtenidos en la propagación de especies forestales con la utilización de bioproductos. El objetivo fue evaluar el efecto de FitoMas-E, Bayfolán, VIUSID </w:t>
      </w:r>
      <w:r w:rsidRPr="007F669A">
        <w:rPr>
          <w:i/>
          <w:lang w:val="es-CU"/>
        </w:rPr>
        <w:t>Agro</w:t>
      </w:r>
      <w:r w:rsidRPr="007F669A">
        <w:rPr>
          <w:lang w:val="es-CU"/>
        </w:rPr>
        <w:t xml:space="preserve"> y Microorganismos Eficientes (EM) sobre la germinación de semillas y la calidad de plantas en vivero en las especies </w:t>
      </w:r>
      <w:r w:rsidRPr="007F669A">
        <w:rPr>
          <w:i/>
          <w:lang w:val="es-CU"/>
        </w:rPr>
        <w:t>Chrysophyllum cainito</w:t>
      </w:r>
      <w:r w:rsidRPr="007F669A">
        <w:rPr>
          <w:lang w:val="es-CU"/>
        </w:rPr>
        <w:t xml:space="preserve"> L. (caimito), </w:t>
      </w:r>
      <w:r w:rsidRPr="007F669A">
        <w:rPr>
          <w:i/>
          <w:lang w:val="es-CU"/>
        </w:rPr>
        <w:t>Cinnamomum zeylanicum</w:t>
      </w:r>
      <w:r w:rsidRPr="007F669A">
        <w:rPr>
          <w:lang w:val="es-CU"/>
        </w:rPr>
        <w:t xml:space="preserve"> J. Presl (canela) y </w:t>
      </w:r>
      <w:r w:rsidRPr="007F669A">
        <w:rPr>
          <w:i/>
          <w:lang w:val="es-CU"/>
        </w:rPr>
        <w:t>Swietenia mahagoni</w:t>
      </w:r>
      <w:r w:rsidRPr="007F669A">
        <w:rPr>
          <w:lang w:val="es-CU"/>
        </w:rPr>
        <w:t xml:space="preserve"> (L.) Jacq. (caoba antillana). Las metodologías y dosis se basaron en lo recomendado por los suministradores. Los resultados mostraron la efectividad del FitoMas-E (2%) en la germinación de semillas de caimito y canela, así como EM (10%) en caoba antillana, con incrementos de entre 10% y 30% en todos los casos y adelanto en el inicio del proceso. En cuanto a la calidad de plantas, el FitoMas-E (2%) mostró un efecto significativo en caimito y canela, en tanto, el VIUSID </w:t>
      </w:r>
      <w:r w:rsidRPr="007F669A">
        <w:rPr>
          <w:i/>
          <w:lang w:val="es-CU"/>
        </w:rPr>
        <w:t>Agro</w:t>
      </w:r>
      <w:r w:rsidRPr="007F669A">
        <w:rPr>
          <w:lang w:val="es-CU"/>
        </w:rPr>
        <w:t xml:space="preserve"> (0.25 L ha</w:t>
      </w:r>
      <w:r w:rsidRPr="007F669A">
        <w:rPr>
          <w:vertAlign w:val="superscript"/>
          <w:lang w:val="es-CU"/>
        </w:rPr>
        <w:t>-1</w:t>
      </w:r>
      <w:r w:rsidRPr="007F669A">
        <w:rPr>
          <w:lang w:val="es-CU"/>
        </w:rPr>
        <w:t>) fue más efectivo en caoba antillana. Se concluye que la utilización de bioproductos en la propagación de estas especies forestales es factible porque incrementa la capacidad germinativa de las semillas y mejora la calidad de las plantas producidas, con impactos en lo económico y lo ecológico.</w:t>
      </w:r>
    </w:p>
    <w:p w:rsidR="007F669A" w:rsidRDefault="00A435F1" w:rsidP="005B747F">
      <w:pPr>
        <w:rPr>
          <w:lang w:val="es-CU"/>
        </w:rPr>
      </w:pPr>
      <w:r w:rsidRPr="00700DF8">
        <w:rPr>
          <w:lang w:val="es-CU"/>
        </w:rPr>
        <w:t>Palabras clave</w:t>
      </w:r>
      <w:r w:rsidR="005B747F" w:rsidRPr="00700DF8">
        <w:rPr>
          <w:lang w:val="es-CU"/>
        </w:rPr>
        <w:t>:</w:t>
      </w:r>
      <w:r w:rsidRPr="00700DF8">
        <w:rPr>
          <w:lang w:val="es-CU"/>
        </w:rPr>
        <w:t xml:space="preserve"> </w:t>
      </w:r>
      <w:r w:rsidR="007F669A" w:rsidRPr="007F669A">
        <w:rPr>
          <w:lang w:val="es-CU"/>
        </w:rPr>
        <w:t>bioproductos, especies forestales, germinación, calidad de plantas</w:t>
      </w:r>
    </w:p>
    <w:p w:rsidR="006041CC" w:rsidRDefault="006041CC" w:rsidP="007F669A">
      <w:pPr>
        <w:jc w:val="center"/>
        <w:rPr>
          <w:b/>
          <w:lang w:val="es-CU"/>
        </w:rPr>
      </w:pPr>
    </w:p>
    <w:p w:rsidR="006041CC" w:rsidRDefault="006041CC" w:rsidP="007F669A">
      <w:pPr>
        <w:jc w:val="center"/>
        <w:rPr>
          <w:b/>
          <w:lang w:val="es-CU"/>
        </w:rPr>
      </w:pPr>
    </w:p>
    <w:p w:rsidR="007F669A" w:rsidRPr="007F669A" w:rsidRDefault="007F669A" w:rsidP="007F669A">
      <w:pPr>
        <w:jc w:val="center"/>
        <w:rPr>
          <w:b/>
          <w:lang w:val="es-CU"/>
        </w:rPr>
      </w:pPr>
      <w:r w:rsidRPr="007F669A">
        <w:rPr>
          <w:b/>
          <w:lang w:val="es-CU"/>
        </w:rPr>
        <w:t>Abstract</w:t>
      </w:r>
    </w:p>
    <w:p w:rsidR="007F669A" w:rsidRDefault="007F669A" w:rsidP="005B747F">
      <w:pPr>
        <w:rPr>
          <w:lang w:val="es-CU"/>
        </w:rPr>
      </w:pPr>
      <w:r w:rsidRPr="007F669A">
        <w:rPr>
          <w:lang w:val="es-CU"/>
        </w:rPr>
        <w:t xml:space="preserve">The main results obtained in the propagation of forest species with the use of bioproducts are presented. The objective was to evaluate the effect of FitoMas-E, Bayfolán, VIUSID </w:t>
      </w:r>
      <w:r w:rsidRPr="007F669A">
        <w:rPr>
          <w:i/>
          <w:lang w:val="es-CU"/>
        </w:rPr>
        <w:t>Agro</w:t>
      </w:r>
      <w:r w:rsidRPr="007F669A">
        <w:rPr>
          <w:lang w:val="es-CU"/>
        </w:rPr>
        <w:t xml:space="preserve"> and Efficient Microorganisms (EM) on seed germination and the quality of plants in the nursery in the species </w:t>
      </w:r>
      <w:r w:rsidRPr="007F669A">
        <w:rPr>
          <w:i/>
          <w:lang w:val="es-CU"/>
        </w:rPr>
        <w:t>Chrysophyllum cainito</w:t>
      </w:r>
      <w:r w:rsidRPr="007F669A">
        <w:rPr>
          <w:lang w:val="es-CU"/>
        </w:rPr>
        <w:t xml:space="preserve"> L. (star apple), </w:t>
      </w:r>
      <w:r w:rsidRPr="007F669A">
        <w:rPr>
          <w:i/>
          <w:lang w:val="es-CU"/>
        </w:rPr>
        <w:t>Cinnamomum zeylanicum</w:t>
      </w:r>
      <w:r w:rsidRPr="007F669A">
        <w:rPr>
          <w:lang w:val="es-CU"/>
        </w:rPr>
        <w:t xml:space="preserve"> J. Presl (cinnamon) and </w:t>
      </w:r>
      <w:r w:rsidRPr="007F669A">
        <w:rPr>
          <w:i/>
          <w:lang w:val="es-CU"/>
        </w:rPr>
        <w:t>Swietenia mahagoni</w:t>
      </w:r>
      <w:r w:rsidRPr="007F669A">
        <w:rPr>
          <w:lang w:val="es-CU"/>
        </w:rPr>
        <w:t xml:space="preserve"> (L.) Jacq. (Antillean mahogany). The methodologies and dosages were based on what was recommended by the suppliers. The results showed the effectiveness of FitoMas-E (2%) in the germination of star apple and cinnamon seeds, as well as EM (10%) in Antillean mahogany, with increases of between 10% and 30% in all cases and advance in the beginning of the process. Regarding plant quality, FitoMas-E (2%) showed a significant effect on star apple and cinnamon, while VIUSID </w:t>
      </w:r>
      <w:r w:rsidRPr="007F669A">
        <w:rPr>
          <w:i/>
          <w:lang w:val="es-CU"/>
        </w:rPr>
        <w:t>Agro</w:t>
      </w:r>
      <w:r w:rsidRPr="007F669A">
        <w:rPr>
          <w:lang w:val="es-CU"/>
        </w:rPr>
        <w:t xml:space="preserve"> (0.25 L ha</w:t>
      </w:r>
      <w:r w:rsidRPr="007F669A">
        <w:rPr>
          <w:vertAlign w:val="superscript"/>
          <w:lang w:val="es-CU"/>
        </w:rPr>
        <w:t>-1</w:t>
      </w:r>
      <w:r w:rsidRPr="007F669A">
        <w:rPr>
          <w:lang w:val="es-CU"/>
        </w:rPr>
        <w:t>) was more effective on Antillean mahogany. It is concluded that the use of bioproducts in the propagation of these forest species is feasible because it increases the germination capacity of the seeds and improves the quality of the plants produced, with economic and ecological impacts.</w:t>
      </w:r>
    </w:p>
    <w:p w:rsidR="005B747F" w:rsidRPr="00700DF8" w:rsidRDefault="00A435F1" w:rsidP="005B747F">
      <w:pPr>
        <w:rPr>
          <w:lang w:val="es-CU"/>
        </w:rPr>
      </w:pPr>
      <w:r w:rsidRPr="00700DF8">
        <w:rPr>
          <w:lang w:val="es-CU"/>
        </w:rPr>
        <w:t xml:space="preserve">Keywords. </w:t>
      </w:r>
      <w:r w:rsidR="007F669A" w:rsidRPr="007F669A">
        <w:rPr>
          <w:lang w:val="es-CU"/>
        </w:rPr>
        <w:t>bioproducts, forest species, germination, plant quality</w:t>
      </w:r>
      <w:r w:rsidR="005B747F" w:rsidRPr="00700DF8">
        <w:rPr>
          <w:lang w:val="es-CU"/>
        </w:rPr>
        <w:t xml:space="preserve"> </w:t>
      </w:r>
    </w:p>
    <w:p w:rsidR="005B747F" w:rsidRPr="00700DF8" w:rsidRDefault="007F669A" w:rsidP="005B747F">
      <w:pPr>
        <w:pStyle w:val="Ttulo1"/>
        <w:rPr>
          <w:lang w:val="es-CU"/>
        </w:rPr>
      </w:pPr>
      <w:r>
        <w:rPr>
          <w:lang w:val="es-CU"/>
        </w:rPr>
        <w:t>INTRODUCCIÓN</w:t>
      </w:r>
    </w:p>
    <w:p w:rsidR="0099565A" w:rsidRDefault="0099565A" w:rsidP="0099565A">
      <w:r w:rsidRPr="004A69BD">
        <w:t xml:space="preserve">En los esquemas actuales de agricultura sostenible, se aboga por la utilización de sistemas viables económica y ecológicamente: los llamados sistemas orgánicos. Desde hace algunos años, se están produciendo sustancias que pueden ser utilizadas en la nutrición de las plantas por </w:t>
      </w:r>
      <w:r w:rsidR="008A530A">
        <w:t>diferentes vías</w:t>
      </w:r>
      <w:r w:rsidRPr="004A69BD">
        <w:t xml:space="preserve">, conocidas como </w:t>
      </w:r>
      <w:proofErr w:type="spellStart"/>
      <w:r w:rsidRPr="004A69BD">
        <w:t>bionutrientes</w:t>
      </w:r>
      <w:proofErr w:type="spellEnd"/>
      <w:r w:rsidRPr="004A69BD">
        <w:t>, bioestimulantes o simplemente promotores del crecimiento vegetal</w:t>
      </w:r>
      <w:r w:rsidR="008A530A">
        <w:t>, cuyo uso es cada vez más frecuente en muchos cultivos de importancia económica (</w:t>
      </w:r>
      <w:r w:rsidR="008A530A" w:rsidRPr="000A1777">
        <w:t xml:space="preserve">Maza </w:t>
      </w:r>
      <w:r w:rsidR="008A530A" w:rsidRPr="000A1777">
        <w:rPr>
          <w:i/>
        </w:rPr>
        <w:t>et al</w:t>
      </w:r>
      <w:r w:rsidR="008A530A" w:rsidRPr="000A1777">
        <w:t>, 2019</w:t>
      </w:r>
      <w:r w:rsidR="008A530A">
        <w:t>)</w:t>
      </w:r>
      <w:r w:rsidRPr="004A69BD">
        <w:t xml:space="preserve">. Sus ventajas fundamentales </w:t>
      </w:r>
      <w:r>
        <w:t>radican en</w:t>
      </w:r>
      <w:r w:rsidRPr="004A69BD">
        <w:t xml:space="preserve"> que</w:t>
      </w:r>
      <w:r>
        <w:t>,</w:t>
      </w:r>
      <w:r w:rsidRPr="004A69BD">
        <w:t xml:space="preserve"> con mínimas dosis, se pueden obtener aumentos considerables en la germinación de semillas, los ritmos de crecimiento y en los rendimientos de los cultivos sin provocar efectos negativos sobre el medio ambiente.</w:t>
      </w:r>
    </w:p>
    <w:p w:rsidR="0099565A" w:rsidRDefault="0099565A" w:rsidP="0099565A">
      <w:r w:rsidRPr="007B03A7">
        <w:t xml:space="preserve">Aunque es una práctica bastante antigua, en las últimas décadas ha tomado un mayor auge a nivel nacional e internacional, manifestándose un aumento tanto en la producción </w:t>
      </w:r>
      <w:r w:rsidRPr="007B03A7">
        <w:lastRenderedPageBreak/>
        <w:t xml:space="preserve">de diferentes formulaciones, como en la evaluación de sus efectos sobre el desarrollo de las plantas. </w:t>
      </w:r>
      <w:r w:rsidR="000B4AC9">
        <w:t>En Cuba, se ha llegado incluso a publicar un manual para el uso</w:t>
      </w:r>
      <w:r w:rsidRPr="007B03A7">
        <w:t xml:space="preserve"> de varios estimuladores del crecimiento </w:t>
      </w:r>
      <w:r w:rsidR="000B4AC9">
        <w:t xml:space="preserve">debido a sus excelentes resultados, </w:t>
      </w:r>
      <w:r w:rsidRPr="007B03A7">
        <w:t xml:space="preserve">entre los que se destacan el </w:t>
      </w:r>
      <w:proofErr w:type="spellStart"/>
      <w:r w:rsidRPr="007B03A7">
        <w:t>Fitomás</w:t>
      </w:r>
      <w:proofErr w:type="spellEnd"/>
      <w:r w:rsidRPr="007B03A7">
        <w:t xml:space="preserve">-E, </w:t>
      </w:r>
      <w:proofErr w:type="spellStart"/>
      <w:r w:rsidR="0084429D" w:rsidRPr="007B03A7">
        <w:t>Biobras</w:t>
      </w:r>
      <w:proofErr w:type="spellEnd"/>
      <w:r w:rsidR="0084429D" w:rsidRPr="007B03A7">
        <w:t xml:space="preserve"> 16</w:t>
      </w:r>
      <w:r w:rsidR="0084429D">
        <w:t xml:space="preserve">, </w:t>
      </w:r>
      <w:proofErr w:type="spellStart"/>
      <w:r w:rsidR="0084429D">
        <w:t>Tomaticid</w:t>
      </w:r>
      <w:proofErr w:type="spellEnd"/>
      <w:r w:rsidR="0084429D">
        <w:t xml:space="preserve">, </w:t>
      </w:r>
      <w:proofErr w:type="spellStart"/>
      <w:r w:rsidR="0084429D">
        <w:t>Bioenraiz</w:t>
      </w:r>
      <w:proofErr w:type="spellEnd"/>
      <w:r w:rsidR="0084429D">
        <w:t xml:space="preserve">, </w:t>
      </w:r>
      <w:proofErr w:type="spellStart"/>
      <w:r w:rsidR="0084429D">
        <w:t>Quitomax</w:t>
      </w:r>
      <w:proofErr w:type="spellEnd"/>
      <w:r w:rsidRPr="007B03A7">
        <w:t xml:space="preserve">, </w:t>
      </w:r>
      <w:proofErr w:type="spellStart"/>
      <w:r w:rsidRPr="007B03A7">
        <w:t>Pe</w:t>
      </w:r>
      <w:r w:rsidR="0084429D">
        <w:t>c</w:t>
      </w:r>
      <w:r w:rsidRPr="007B03A7">
        <w:t>timorf</w:t>
      </w:r>
      <w:proofErr w:type="spellEnd"/>
      <w:r w:rsidRPr="007B03A7">
        <w:t xml:space="preserve">, y </w:t>
      </w:r>
      <w:r w:rsidR="0084429D">
        <w:t>Microorganismos eficientes (ME-50)</w:t>
      </w:r>
      <w:r w:rsidRPr="007B03A7">
        <w:t xml:space="preserve"> (</w:t>
      </w:r>
      <w:r w:rsidR="008A530A" w:rsidRPr="000A1777">
        <w:t>MINAG, 20</w:t>
      </w:r>
      <w:r w:rsidRPr="000A1777">
        <w:t>2</w:t>
      </w:r>
      <w:r w:rsidR="008A530A" w:rsidRPr="000A1777">
        <w:t>0</w:t>
      </w:r>
      <w:r w:rsidRPr="007B03A7">
        <w:t>).</w:t>
      </w:r>
    </w:p>
    <w:p w:rsidR="0099565A" w:rsidRDefault="0099565A" w:rsidP="0099565A">
      <w:r>
        <w:t xml:space="preserve">Más recientemente se han venido evaluando también </w:t>
      </w:r>
      <w:r w:rsidRPr="004A69BD">
        <w:t xml:space="preserve">los efectos del VIUSID </w:t>
      </w:r>
      <w:r w:rsidRPr="00771808">
        <w:rPr>
          <w:i/>
        </w:rPr>
        <w:t>Agro</w:t>
      </w:r>
      <w:r w:rsidRPr="004A69BD">
        <w:t xml:space="preserve">, sobre diferentes cultivos agrícolas; se trata de un complejo nutritivo que contiene micronutrientes, aminoácidos, y extractos vegetales y cuya aplicación a bajas dosis, ha mostrado incrementos importantes en el comportamiento </w:t>
      </w:r>
      <w:proofErr w:type="spellStart"/>
      <w:r w:rsidRPr="004A69BD">
        <w:t>morfoproductivo</w:t>
      </w:r>
      <w:proofErr w:type="spellEnd"/>
      <w:r w:rsidRPr="004A69BD">
        <w:t xml:space="preserve"> de los mismos (</w:t>
      </w:r>
      <w:proofErr w:type="spellStart"/>
      <w:r w:rsidR="008A530A" w:rsidRPr="000A1777">
        <w:t>Catalysis</w:t>
      </w:r>
      <w:proofErr w:type="spellEnd"/>
      <w:r w:rsidRPr="000A1777">
        <w:t>, 201</w:t>
      </w:r>
      <w:r w:rsidR="008A530A" w:rsidRPr="000A1777">
        <w:t>8</w:t>
      </w:r>
      <w:r w:rsidRPr="004A69BD">
        <w:t>).</w:t>
      </w:r>
    </w:p>
    <w:p w:rsidR="0099565A" w:rsidRDefault="0099565A" w:rsidP="0099565A">
      <w:r w:rsidRPr="004A69BD">
        <w:t>A pesar de que mucho se ha trabajado en los cultivos agrícolas</w:t>
      </w:r>
      <w:r>
        <w:t xml:space="preserve"> con estos compuestos</w:t>
      </w:r>
      <w:r w:rsidRPr="004A69BD">
        <w:t>, pocos estudios se han realizado con especies forestales. Este tipo de investigación es importante y necesaria para dar respuesta a los problemas de deforestación y pérdida de la biodiversidad, ya que la aplicación de este tipo de productos puede constituir una alternativa viable para reducir el período de permanencia en vivero y al mismo tiempo, aumentar la calidad de las plantas producidas</w:t>
      </w:r>
      <w:r w:rsidR="00386BCB">
        <w:t xml:space="preserve"> (</w:t>
      </w:r>
      <w:r w:rsidR="00386BCB" w:rsidRPr="000A1777">
        <w:t>Trocones y Delgado, 2020</w:t>
      </w:r>
      <w:r w:rsidR="00386BCB">
        <w:t>)</w:t>
      </w:r>
      <w:r w:rsidRPr="004A69BD">
        <w:t>.</w:t>
      </w:r>
    </w:p>
    <w:p w:rsidR="005B747F" w:rsidRPr="00700DF8" w:rsidRDefault="0099565A" w:rsidP="0099565A">
      <w:pPr>
        <w:rPr>
          <w:lang w:val="es-CU"/>
        </w:rPr>
      </w:pPr>
      <w:r>
        <w:t xml:space="preserve">Por tal razón, en este trabajo se presentan los resultados obtenidos en tres especies forestales de gran importancia económica y ecológica en el país cuyo objetivo </w:t>
      </w:r>
      <w:r w:rsidR="00E92B74">
        <w:t>fue</w:t>
      </w:r>
      <w:r>
        <w:t xml:space="preserve"> evaluar el efecto de diferentes sustancias estimuladoras sobre la germinación de semillas y calidad de plantas en vivero.</w:t>
      </w:r>
    </w:p>
    <w:p w:rsidR="005B747F" w:rsidRPr="00700DF8" w:rsidRDefault="007F669A" w:rsidP="005B747F">
      <w:pPr>
        <w:pStyle w:val="Ttulo1"/>
        <w:rPr>
          <w:lang w:val="es-CU"/>
        </w:rPr>
      </w:pPr>
      <w:r>
        <w:rPr>
          <w:lang w:val="es-CU"/>
        </w:rPr>
        <w:t>MATERIALES Y MÉTODOS</w:t>
      </w:r>
    </w:p>
    <w:p w:rsidR="006C4816" w:rsidRDefault="0099565A" w:rsidP="006C4816">
      <w:pPr>
        <w:pStyle w:val="Ttulo2"/>
        <w:rPr>
          <w:lang w:val="es-CU"/>
        </w:rPr>
      </w:pPr>
      <w:r>
        <w:rPr>
          <w:lang w:val="es-CU"/>
        </w:rPr>
        <w:t>Generalidades sobre las investigaciones realizadas</w:t>
      </w:r>
    </w:p>
    <w:p w:rsidR="0099565A" w:rsidRDefault="00386BCB" w:rsidP="0099565A">
      <w:r>
        <w:t>Los resultados que se presentan en este trabajo corresponden a investigaciones realizadas en instalaciones de la Universidad de Sancti Spíritus “José Martí Pérez”</w:t>
      </w:r>
      <w:r w:rsidR="00982868">
        <w:t>, durante los últimos cuatro años</w:t>
      </w:r>
      <w:r>
        <w:t>. E</w:t>
      </w:r>
      <w:r w:rsidR="0099565A">
        <w:t>n la Tabla 1 se muestran los detalles:</w:t>
      </w:r>
    </w:p>
    <w:p w:rsidR="0099565A" w:rsidRDefault="0099565A" w:rsidP="0099565A">
      <w:r>
        <w:t>Tabla 1. Ubicación y bioproductos en las investigaciones con especies forestales</w:t>
      </w:r>
    </w:p>
    <w:tbl>
      <w:tblPr>
        <w:tblStyle w:val="Tablanormal2"/>
        <w:tblW w:w="5000" w:type="pct"/>
        <w:tblLook w:val="0620" w:firstRow="1" w:lastRow="0" w:firstColumn="0" w:lastColumn="0" w:noHBand="1" w:noVBand="1"/>
      </w:tblPr>
      <w:tblGrid>
        <w:gridCol w:w="3136"/>
        <w:gridCol w:w="3135"/>
        <w:gridCol w:w="3133"/>
      </w:tblGrid>
      <w:tr w:rsidR="009C6BAF" w:rsidRPr="009F145D" w:rsidTr="009C6BAF">
        <w:trPr>
          <w:cnfStyle w:val="100000000000" w:firstRow="1" w:lastRow="0" w:firstColumn="0" w:lastColumn="0" w:oddVBand="0" w:evenVBand="0" w:oddHBand="0" w:evenHBand="0" w:firstRowFirstColumn="0" w:firstRowLastColumn="0" w:lastRowFirstColumn="0" w:lastRowLastColumn="0"/>
        </w:trPr>
        <w:tc>
          <w:tcPr>
            <w:tcW w:w="1667" w:type="pct"/>
            <w:tcBorders>
              <w:top w:val="single" w:sz="12" w:space="0" w:color="000000"/>
              <w:bottom w:val="single" w:sz="12" w:space="0" w:color="000000"/>
            </w:tcBorders>
            <w:vAlign w:val="center"/>
          </w:tcPr>
          <w:p w:rsidR="009C6BAF" w:rsidRPr="009F145D" w:rsidRDefault="009C6BAF" w:rsidP="000B4AC9">
            <w:pPr>
              <w:spacing w:before="0" w:after="0"/>
              <w:jc w:val="center"/>
              <w:rPr>
                <w:b w:val="0"/>
              </w:rPr>
            </w:pPr>
            <w:r w:rsidRPr="009F145D">
              <w:t>Especie</w:t>
            </w:r>
          </w:p>
        </w:tc>
        <w:tc>
          <w:tcPr>
            <w:tcW w:w="1667" w:type="pct"/>
            <w:tcBorders>
              <w:top w:val="single" w:sz="12" w:space="0" w:color="000000"/>
              <w:bottom w:val="single" w:sz="12" w:space="0" w:color="000000"/>
            </w:tcBorders>
            <w:vAlign w:val="center"/>
          </w:tcPr>
          <w:p w:rsidR="009C6BAF" w:rsidRPr="009F145D" w:rsidRDefault="009C6BAF" w:rsidP="000B4AC9">
            <w:pPr>
              <w:spacing w:before="0" w:after="0"/>
              <w:jc w:val="center"/>
              <w:rPr>
                <w:b w:val="0"/>
              </w:rPr>
            </w:pPr>
            <w:r w:rsidRPr="009F145D">
              <w:t>Ubicación</w:t>
            </w:r>
          </w:p>
        </w:tc>
        <w:tc>
          <w:tcPr>
            <w:tcW w:w="1666" w:type="pct"/>
            <w:tcBorders>
              <w:top w:val="single" w:sz="12" w:space="0" w:color="000000"/>
              <w:bottom w:val="single" w:sz="12" w:space="0" w:color="000000"/>
            </w:tcBorders>
            <w:vAlign w:val="center"/>
          </w:tcPr>
          <w:p w:rsidR="009C6BAF" w:rsidRPr="009F145D" w:rsidRDefault="009C6BAF" w:rsidP="000B4AC9">
            <w:pPr>
              <w:spacing w:before="0" w:after="0"/>
              <w:jc w:val="center"/>
              <w:rPr>
                <w:b w:val="0"/>
              </w:rPr>
            </w:pPr>
            <w:r w:rsidRPr="009F145D">
              <w:t>Bioproductos empleados</w:t>
            </w:r>
          </w:p>
        </w:tc>
      </w:tr>
      <w:tr w:rsidR="00982868" w:rsidTr="009C6BAF">
        <w:tc>
          <w:tcPr>
            <w:tcW w:w="1667" w:type="pct"/>
            <w:tcBorders>
              <w:top w:val="single" w:sz="12" w:space="0" w:color="000000"/>
            </w:tcBorders>
            <w:vAlign w:val="center"/>
          </w:tcPr>
          <w:p w:rsidR="00982868" w:rsidRDefault="00982868" w:rsidP="000B4AC9">
            <w:pPr>
              <w:spacing w:before="0" w:after="0"/>
              <w:jc w:val="center"/>
            </w:pPr>
            <w:proofErr w:type="spellStart"/>
            <w:r w:rsidRPr="009F145D">
              <w:rPr>
                <w:i/>
              </w:rPr>
              <w:lastRenderedPageBreak/>
              <w:t>Chrysophyllum</w:t>
            </w:r>
            <w:proofErr w:type="spellEnd"/>
            <w:r w:rsidRPr="009F145D">
              <w:rPr>
                <w:i/>
              </w:rPr>
              <w:t xml:space="preserve"> </w:t>
            </w:r>
            <w:proofErr w:type="spellStart"/>
            <w:r w:rsidRPr="009F145D">
              <w:rPr>
                <w:i/>
              </w:rPr>
              <w:t>cainito</w:t>
            </w:r>
            <w:proofErr w:type="spellEnd"/>
            <w:r>
              <w:t xml:space="preserve"> (caimito)</w:t>
            </w:r>
          </w:p>
        </w:tc>
        <w:tc>
          <w:tcPr>
            <w:tcW w:w="1667" w:type="pct"/>
            <w:vMerge w:val="restart"/>
            <w:tcBorders>
              <w:top w:val="single" w:sz="12" w:space="0" w:color="000000"/>
            </w:tcBorders>
            <w:vAlign w:val="center"/>
          </w:tcPr>
          <w:p w:rsidR="00982868" w:rsidRDefault="00982868" w:rsidP="000B4AC9">
            <w:pPr>
              <w:spacing w:before="0" w:after="0"/>
              <w:jc w:val="center"/>
            </w:pPr>
            <w:r>
              <w:t>UD-FAME</w:t>
            </w:r>
          </w:p>
          <w:p w:rsidR="00982868" w:rsidRDefault="00982868" w:rsidP="000B4AC9">
            <w:pPr>
              <w:spacing w:before="0" w:after="0"/>
              <w:jc w:val="center"/>
            </w:pPr>
            <w:r>
              <w:t xml:space="preserve"> (Topes de Collantes)</w:t>
            </w:r>
          </w:p>
        </w:tc>
        <w:tc>
          <w:tcPr>
            <w:tcW w:w="1666" w:type="pct"/>
            <w:tcBorders>
              <w:top w:val="single" w:sz="12" w:space="0" w:color="000000"/>
            </w:tcBorders>
            <w:vAlign w:val="center"/>
          </w:tcPr>
          <w:p w:rsidR="00982868" w:rsidRDefault="00982868" w:rsidP="000B4AC9">
            <w:pPr>
              <w:spacing w:before="0" w:after="0"/>
              <w:jc w:val="center"/>
            </w:pPr>
            <w:r>
              <w:t>- FitoMas-E</w:t>
            </w:r>
          </w:p>
          <w:p w:rsidR="00982868" w:rsidRDefault="00982868" w:rsidP="000B4AC9">
            <w:pPr>
              <w:spacing w:before="0" w:after="0"/>
              <w:jc w:val="center"/>
            </w:pPr>
            <w:r>
              <w:t>- Bayfolán</w:t>
            </w:r>
          </w:p>
        </w:tc>
      </w:tr>
      <w:tr w:rsidR="00982868" w:rsidTr="009C6BAF">
        <w:tc>
          <w:tcPr>
            <w:tcW w:w="1667" w:type="pct"/>
            <w:vAlign w:val="center"/>
          </w:tcPr>
          <w:p w:rsidR="00982868" w:rsidRDefault="00982868" w:rsidP="000B4AC9">
            <w:pPr>
              <w:spacing w:before="0" w:after="0"/>
              <w:jc w:val="center"/>
            </w:pPr>
            <w:proofErr w:type="spellStart"/>
            <w:r w:rsidRPr="009F145D">
              <w:rPr>
                <w:i/>
              </w:rPr>
              <w:t>Cinnamommum</w:t>
            </w:r>
            <w:proofErr w:type="spellEnd"/>
            <w:r w:rsidRPr="009F145D">
              <w:rPr>
                <w:i/>
              </w:rPr>
              <w:t xml:space="preserve"> </w:t>
            </w:r>
            <w:proofErr w:type="spellStart"/>
            <w:r w:rsidRPr="009F145D">
              <w:rPr>
                <w:i/>
              </w:rPr>
              <w:t>zeynalicum</w:t>
            </w:r>
            <w:proofErr w:type="spellEnd"/>
            <w:r>
              <w:t xml:space="preserve"> (canela)</w:t>
            </w:r>
          </w:p>
        </w:tc>
        <w:tc>
          <w:tcPr>
            <w:tcW w:w="1667" w:type="pct"/>
            <w:vMerge/>
            <w:vAlign w:val="center"/>
          </w:tcPr>
          <w:p w:rsidR="00982868" w:rsidRDefault="00982868" w:rsidP="000B4AC9">
            <w:pPr>
              <w:spacing w:before="0" w:after="0"/>
              <w:jc w:val="center"/>
            </w:pPr>
          </w:p>
        </w:tc>
        <w:tc>
          <w:tcPr>
            <w:tcW w:w="1666" w:type="pct"/>
            <w:vAlign w:val="center"/>
          </w:tcPr>
          <w:p w:rsidR="00982868" w:rsidRDefault="00982868" w:rsidP="000B4AC9">
            <w:pPr>
              <w:spacing w:before="0" w:after="0"/>
              <w:jc w:val="center"/>
            </w:pPr>
            <w:r>
              <w:t>- FitoMas-E</w:t>
            </w:r>
          </w:p>
        </w:tc>
      </w:tr>
      <w:tr w:rsidR="009C6BAF" w:rsidTr="009C6BAF">
        <w:tc>
          <w:tcPr>
            <w:tcW w:w="1667" w:type="pct"/>
            <w:tcBorders>
              <w:bottom w:val="single" w:sz="12" w:space="0" w:color="000000"/>
            </w:tcBorders>
            <w:vAlign w:val="center"/>
          </w:tcPr>
          <w:p w:rsidR="009C6BAF" w:rsidRDefault="009C6BAF" w:rsidP="000B4AC9">
            <w:pPr>
              <w:spacing w:before="0" w:after="0"/>
              <w:jc w:val="center"/>
            </w:pPr>
            <w:r w:rsidRPr="009F145D">
              <w:rPr>
                <w:i/>
              </w:rPr>
              <w:t>Swietenia mahagoni</w:t>
            </w:r>
            <w:r>
              <w:t xml:space="preserve"> (caoba antillana)</w:t>
            </w:r>
          </w:p>
        </w:tc>
        <w:tc>
          <w:tcPr>
            <w:tcW w:w="1667" w:type="pct"/>
            <w:tcBorders>
              <w:bottom w:val="single" w:sz="12" w:space="0" w:color="000000"/>
            </w:tcBorders>
            <w:vAlign w:val="center"/>
          </w:tcPr>
          <w:p w:rsidR="009C6BAF" w:rsidRDefault="009C6BAF" w:rsidP="000B4AC9">
            <w:pPr>
              <w:spacing w:before="0" w:after="0"/>
              <w:jc w:val="center"/>
            </w:pPr>
            <w:r>
              <w:t>Facultad de Ciencias Agropecuarias (Sancti Spíritus)</w:t>
            </w:r>
          </w:p>
          <w:p w:rsidR="009C6BAF" w:rsidRDefault="009C6BAF" w:rsidP="000B4AC9">
            <w:pPr>
              <w:spacing w:before="0" w:after="0"/>
              <w:jc w:val="center"/>
            </w:pPr>
          </w:p>
        </w:tc>
        <w:tc>
          <w:tcPr>
            <w:tcW w:w="1666" w:type="pct"/>
            <w:tcBorders>
              <w:bottom w:val="single" w:sz="12" w:space="0" w:color="000000"/>
            </w:tcBorders>
            <w:vAlign w:val="center"/>
          </w:tcPr>
          <w:p w:rsidR="009C6BAF" w:rsidRDefault="009C6BAF" w:rsidP="000B4AC9">
            <w:pPr>
              <w:spacing w:before="0" w:after="0"/>
              <w:jc w:val="center"/>
            </w:pPr>
            <w:r>
              <w:t>- FitoMas-E</w:t>
            </w:r>
          </w:p>
          <w:p w:rsidR="009C6BAF" w:rsidRDefault="009C6BAF" w:rsidP="000B4AC9">
            <w:pPr>
              <w:spacing w:before="0" w:after="0"/>
              <w:jc w:val="center"/>
            </w:pPr>
            <w:r>
              <w:t>-Microorganismos eficientes</w:t>
            </w:r>
          </w:p>
          <w:p w:rsidR="009C6BAF" w:rsidRDefault="009C6BAF" w:rsidP="000B4AC9">
            <w:pPr>
              <w:spacing w:before="0" w:after="0"/>
              <w:jc w:val="center"/>
            </w:pPr>
            <w:r>
              <w:t xml:space="preserve">- VIUSID </w:t>
            </w:r>
            <w:r w:rsidRPr="009F145D">
              <w:rPr>
                <w:i/>
              </w:rPr>
              <w:t>Agro</w:t>
            </w:r>
          </w:p>
        </w:tc>
      </w:tr>
    </w:tbl>
    <w:p w:rsidR="0099565A" w:rsidRPr="0099565A" w:rsidRDefault="0099565A" w:rsidP="0099565A">
      <w:pPr>
        <w:rPr>
          <w:lang w:val="es-CU"/>
        </w:rPr>
      </w:pPr>
    </w:p>
    <w:p w:rsidR="0099565A" w:rsidRDefault="0099565A" w:rsidP="003948D3">
      <w:pPr>
        <w:pStyle w:val="Ttulo3"/>
        <w:rPr>
          <w:lang w:val="es-CU"/>
        </w:rPr>
      </w:pPr>
      <w:r w:rsidRPr="0099565A">
        <w:rPr>
          <w:lang w:val="es-CU"/>
        </w:rPr>
        <w:t xml:space="preserve">Especies seleccionadas para las investigaciones </w:t>
      </w:r>
    </w:p>
    <w:p w:rsidR="0099565A" w:rsidRDefault="0099565A" w:rsidP="0099565A">
      <w:proofErr w:type="spellStart"/>
      <w:r w:rsidRPr="008C08A8">
        <w:rPr>
          <w:i/>
        </w:rPr>
        <w:t>Chrysophyllum</w:t>
      </w:r>
      <w:proofErr w:type="spellEnd"/>
      <w:r w:rsidRPr="008C08A8">
        <w:rPr>
          <w:i/>
        </w:rPr>
        <w:t xml:space="preserve"> </w:t>
      </w:r>
      <w:proofErr w:type="spellStart"/>
      <w:r w:rsidRPr="008C08A8">
        <w:rPr>
          <w:i/>
        </w:rPr>
        <w:t>cainito</w:t>
      </w:r>
      <w:proofErr w:type="spellEnd"/>
      <w:r>
        <w:t xml:space="preserve"> </w:t>
      </w:r>
      <w:r w:rsidR="00386BCB">
        <w:t xml:space="preserve">L. </w:t>
      </w:r>
      <w:r>
        <w:t>(caimito): es una especie frutal, cuya aparición en los campos cubanos constituye hoy una rareza. Su madera presenta buenas características que le conceden también gran valor como especie maderable. Puede ser utilizada en sistemas agroforestales con impacto en la soberanía y seguridad alimentaria de las zonas rurales y periurbanas.</w:t>
      </w:r>
    </w:p>
    <w:p w:rsidR="0099565A" w:rsidRDefault="0099565A" w:rsidP="0099565A">
      <w:proofErr w:type="spellStart"/>
      <w:r w:rsidRPr="008C08A8">
        <w:rPr>
          <w:i/>
        </w:rPr>
        <w:t>Cinnamommum</w:t>
      </w:r>
      <w:proofErr w:type="spellEnd"/>
      <w:r w:rsidRPr="008C08A8">
        <w:rPr>
          <w:i/>
        </w:rPr>
        <w:t xml:space="preserve"> </w:t>
      </w:r>
      <w:proofErr w:type="spellStart"/>
      <w:r w:rsidRPr="008C08A8">
        <w:rPr>
          <w:i/>
        </w:rPr>
        <w:t>zeylanicum</w:t>
      </w:r>
      <w:proofErr w:type="spellEnd"/>
      <w:r>
        <w:t xml:space="preserve"> </w:t>
      </w:r>
      <w:r w:rsidR="00386BCB" w:rsidRPr="007F669A">
        <w:rPr>
          <w:lang w:val="es-CU"/>
        </w:rPr>
        <w:t>J. Presl</w:t>
      </w:r>
      <w:r w:rsidR="00386BCB">
        <w:t xml:space="preserve"> </w:t>
      </w:r>
      <w:r>
        <w:t xml:space="preserve">(canela): es una especie aromática y medicinal, </w:t>
      </w:r>
      <w:r w:rsidR="00386BCB">
        <w:t>que,</w:t>
      </w:r>
      <w:r>
        <w:t xml:space="preserve"> a pesar de ser muy demandada en Cuba, prácticamente no se cultiva. Se ha propuesto su cultivo en fincas de pequeños productores para el incremento de la biodiversidad y el nivel adquisitivo de los mismos.</w:t>
      </w:r>
    </w:p>
    <w:p w:rsidR="0099565A" w:rsidRDefault="0099565A" w:rsidP="0099565A">
      <w:r w:rsidRPr="008C08A8">
        <w:rPr>
          <w:i/>
        </w:rPr>
        <w:t>Swietenia mahagoni</w:t>
      </w:r>
      <w:r>
        <w:t xml:space="preserve"> </w:t>
      </w:r>
      <w:r w:rsidR="00386BCB">
        <w:t xml:space="preserve">(L.) Jacq. </w:t>
      </w:r>
      <w:r>
        <w:t>(caoba antillana): es una especie de gran valor económico por su madera, pero también ecológico por su condición de autóctona. Se ha contemplado en los planes de desarrollo forestal del país para la restauración ecológica de zonas degradadas.</w:t>
      </w:r>
    </w:p>
    <w:p w:rsidR="006C4816" w:rsidRDefault="003948D3" w:rsidP="003948D3">
      <w:pPr>
        <w:pStyle w:val="Ttulo2"/>
      </w:pPr>
      <w:r>
        <w:t>Efecto de los bioproductos sobre la germinación de semillas</w:t>
      </w:r>
    </w:p>
    <w:p w:rsidR="003948D3" w:rsidRDefault="003948D3" w:rsidP="003948D3">
      <w:pPr>
        <w:rPr>
          <w:lang w:val="es-CU"/>
        </w:rPr>
      </w:pPr>
      <w:r>
        <w:rPr>
          <w:lang w:val="es-CU"/>
        </w:rPr>
        <w:t xml:space="preserve">Los bioproductos utilizados se seleccionaron a partir de dos criterios fundamentales: revisión de la bibliografía especializada y disponibilidad. Las dosis empleadas </w:t>
      </w:r>
      <w:r w:rsidR="00386BCB">
        <w:rPr>
          <w:lang w:val="es-CU"/>
        </w:rPr>
        <w:t xml:space="preserve">se basaron </w:t>
      </w:r>
      <w:r>
        <w:rPr>
          <w:lang w:val="es-CU"/>
        </w:rPr>
        <w:t>en lo recomendado por los suministradores.</w:t>
      </w:r>
    </w:p>
    <w:p w:rsidR="003948D3" w:rsidRDefault="003948D3" w:rsidP="003948D3">
      <w:pPr>
        <w:rPr>
          <w:lang w:val="es-CU"/>
        </w:rPr>
      </w:pPr>
      <w:r>
        <w:rPr>
          <w:lang w:val="es-CU"/>
        </w:rPr>
        <w:t>En la Tabla 2, se muestra la información relacionada con los estudios de germinación.</w:t>
      </w:r>
    </w:p>
    <w:p w:rsidR="003948D3" w:rsidRDefault="003948D3" w:rsidP="003948D3">
      <w:pPr>
        <w:rPr>
          <w:lang w:val="es-CU"/>
        </w:rPr>
      </w:pPr>
      <w:r w:rsidRPr="003948D3">
        <w:rPr>
          <w:lang w:val="es-CU"/>
        </w:rPr>
        <w:lastRenderedPageBreak/>
        <w:t>Tabla 2.</w:t>
      </w:r>
      <w:r>
        <w:rPr>
          <w:lang w:val="es-CU"/>
        </w:rPr>
        <w:t xml:space="preserve"> Diseño de los experimentos relacionados con la aplicación de bioproductos para la germinación de </w:t>
      </w:r>
      <w:r w:rsidR="00386BCB">
        <w:rPr>
          <w:lang w:val="es-CU"/>
        </w:rPr>
        <w:t xml:space="preserve">semillas </w:t>
      </w:r>
    </w:p>
    <w:tbl>
      <w:tblPr>
        <w:tblStyle w:val="Tablanormal2"/>
        <w:tblW w:w="5000" w:type="pct"/>
        <w:tblLook w:val="0620" w:firstRow="1" w:lastRow="0" w:firstColumn="0" w:lastColumn="0" w:noHBand="1" w:noVBand="1"/>
      </w:tblPr>
      <w:tblGrid>
        <w:gridCol w:w="1821"/>
        <w:gridCol w:w="1821"/>
        <w:gridCol w:w="2116"/>
        <w:gridCol w:w="1824"/>
        <w:gridCol w:w="1822"/>
      </w:tblGrid>
      <w:tr w:rsidR="003948D3" w:rsidRPr="00537287" w:rsidTr="006041CC">
        <w:trPr>
          <w:cnfStyle w:val="100000000000" w:firstRow="1" w:lastRow="0" w:firstColumn="0" w:lastColumn="0" w:oddVBand="0" w:evenVBand="0" w:oddHBand="0" w:evenHBand="0" w:firstRowFirstColumn="0" w:firstRowLastColumn="0" w:lastRowFirstColumn="0" w:lastRowLastColumn="0"/>
        </w:trPr>
        <w:tc>
          <w:tcPr>
            <w:tcW w:w="968" w:type="pct"/>
            <w:tcBorders>
              <w:top w:val="single" w:sz="12" w:space="0" w:color="000000"/>
              <w:bottom w:val="single" w:sz="12" w:space="0" w:color="000000"/>
            </w:tcBorders>
            <w:vAlign w:val="center"/>
          </w:tcPr>
          <w:p w:rsidR="003948D3" w:rsidRPr="00537287" w:rsidRDefault="003948D3" w:rsidP="000B4AC9">
            <w:pPr>
              <w:spacing w:before="0" w:after="0"/>
              <w:jc w:val="center"/>
            </w:pPr>
            <w:r w:rsidRPr="00537287">
              <w:t>Especie</w:t>
            </w:r>
          </w:p>
        </w:tc>
        <w:tc>
          <w:tcPr>
            <w:tcW w:w="968" w:type="pct"/>
            <w:tcBorders>
              <w:top w:val="single" w:sz="12" w:space="0" w:color="000000"/>
              <w:bottom w:val="single" w:sz="12" w:space="0" w:color="000000"/>
            </w:tcBorders>
            <w:vAlign w:val="center"/>
          </w:tcPr>
          <w:p w:rsidR="003948D3" w:rsidRPr="00537287" w:rsidRDefault="003948D3" w:rsidP="000B4AC9">
            <w:pPr>
              <w:spacing w:before="0" w:after="0"/>
              <w:jc w:val="center"/>
            </w:pPr>
            <w:r w:rsidRPr="00537287">
              <w:t>Condiciones</w:t>
            </w:r>
          </w:p>
        </w:tc>
        <w:tc>
          <w:tcPr>
            <w:tcW w:w="1125" w:type="pct"/>
            <w:tcBorders>
              <w:top w:val="single" w:sz="12" w:space="0" w:color="000000"/>
              <w:bottom w:val="single" w:sz="12" w:space="0" w:color="000000"/>
            </w:tcBorders>
            <w:vAlign w:val="center"/>
          </w:tcPr>
          <w:p w:rsidR="003948D3" w:rsidRPr="00537287" w:rsidRDefault="003948D3" w:rsidP="000B4AC9">
            <w:pPr>
              <w:spacing w:before="0" w:after="0"/>
              <w:jc w:val="center"/>
            </w:pPr>
            <w:r w:rsidRPr="00537287">
              <w:t>Diseño</w:t>
            </w:r>
          </w:p>
        </w:tc>
        <w:tc>
          <w:tcPr>
            <w:tcW w:w="970" w:type="pct"/>
            <w:tcBorders>
              <w:top w:val="single" w:sz="12" w:space="0" w:color="000000"/>
              <w:bottom w:val="single" w:sz="12" w:space="0" w:color="000000"/>
            </w:tcBorders>
            <w:vAlign w:val="center"/>
          </w:tcPr>
          <w:p w:rsidR="003948D3" w:rsidRPr="00537287" w:rsidRDefault="003948D3" w:rsidP="000B4AC9">
            <w:pPr>
              <w:spacing w:before="0" w:after="0"/>
              <w:jc w:val="center"/>
            </w:pPr>
            <w:r w:rsidRPr="00537287">
              <w:t>Réplicas</w:t>
            </w:r>
          </w:p>
        </w:tc>
        <w:tc>
          <w:tcPr>
            <w:tcW w:w="969" w:type="pct"/>
            <w:tcBorders>
              <w:top w:val="single" w:sz="12" w:space="0" w:color="000000"/>
              <w:bottom w:val="single" w:sz="12" w:space="0" w:color="000000"/>
            </w:tcBorders>
            <w:vAlign w:val="center"/>
          </w:tcPr>
          <w:p w:rsidR="003948D3" w:rsidRPr="00537287" w:rsidRDefault="003948D3" w:rsidP="000B4AC9">
            <w:pPr>
              <w:spacing w:before="0" w:after="0"/>
              <w:jc w:val="center"/>
            </w:pPr>
            <w:r w:rsidRPr="00537287">
              <w:t>Bioproductos y Dosis</w:t>
            </w:r>
          </w:p>
        </w:tc>
      </w:tr>
      <w:tr w:rsidR="003948D3" w:rsidTr="006041CC">
        <w:tc>
          <w:tcPr>
            <w:tcW w:w="968" w:type="pct"/>
            <w:tcBorders>
              <w:top w:val="single" w:sz="12" w:space="0" w:color="000000"/>
              <w:bottom w:val="single" w:sz="12" w:space="0" w:color="000000"/>
            </w:tcBorders>
            <w:vAlign w:val="center"/>
          </w:tcPr>
          <w:p w:rsidR="003948D3" w:rsidRPr="00754EB9" w:rsidRDefault="003948D3" w:rsidP="000B4AC9">
            <w:pPr>
              <w:spacing w:before="0" w:after="0"/>
              <w:jc w:val="center"/>
              <w:rPr>
                <w:i/>
              </w:rPr>
            </w:pPr>
            <w:r w:rsidRPr="00754EB9">
              <w:rPr>
                <w:i/>
              </w:rPr>
              <w:t xml:space="preserve">Ch. </w:t>
            </w:r>
            <w:proofErr w:type="spellStart"/>
            <w:r w:rsidRPr="00754EB9">
              <w:rPr>
                <w:i/>
              </w:rPr>
              <w:t>cainito</w:t>
            </w:r>
            <w:proofErr w:type="spellEnd"/>
          </w:p>
        </w:tc>
        <w:tc>
          <w:tcPr>
            <w:tcW w:w="968" w:type="pct"/>
            <w:tcBorders>
              <w:top w:val="single" w:sz="12" w:space="0" w:color="000000"/>
              <w:bottom w:val="single" w:sz="12" w:space="0" w:color="000000"/>
            </w:tcBorders>
          </w:tcPr>
          <w:p w:rsidR="003948D3" w:rsidRDefault="003948D3" w:rsidP="000B4AC9">
            <w:pPr>
              <w:spacing w:before="0" w:after="0"/>
              <w:jc w:val="center"/>
            </w:pPr>
            <w:r>
              <w:t>Vivero (bolsas de polietileno)</w:t>
            </w:r>
          </w:p>
        </w:tc>
        <w:tc>
          <w:tcPr>
            <w:tcW w:w="1125" w:type="pct"/>
            <w:vMerge w:val="restart"/>
            <w:tcBorders>
              <w:top w:val="single" w:sz="12" w:space="0" w:color="000000"/>
            </w:tcBorders>
            <w:vAlign w:val="center"/>
          </w:tcPr>
          <w:p w:rsidR="003948D3" w:rsidRDefault="003948D3" w:rsidP="000B4AC9">
            <w:pPr>
              <w:spacing w:before="0" w:after="0"/>
              <w:jc w:val="center"/>
            </w:pPr>
            <w:r>
              <w:t>Completamente al azar</w:t>
            </w:r>
          </w:p>
        </w:tc>
        <w:tc>
          <w:tcPr>
            <w:tcW w:w="970" w:type="pct"/>
            <w:tcBorders>
              <w:top w:val="single" w:sz="12" w:space="0" w:color="000000"/>
              <w:bottom w:val="single" w:sz="12" w:space="0" w:color="000000"/>
            </w:tcBorders>
            <w:vAlign w:val="center"/>
          </w:tcPr>
          <w:p w:rsidR="003948D3" w:rsidRDefault="003948D3" w:rsidP="000B4AC9">
            <w:pPr>
              <w:spacing w:before="0" w:after="0"/>
              <w:jc w:val="center"/>
            </w:pPr>
            <w:r>
              <w:t>3 de 10 bolsas c/u</w:t>
            </w:r>
          </w:p>
        </w:tc>
        <w:tc>
          <w:tcPr>
            <w:tcW w:w="969" w:type="pct"/>
            <w:tcBorders>
              <w:top w:val="single" w:sz="12" w:space="0" w:color="000000"/>
              <w:bottom w:val="single" w:sz="12" w:space="0" w:color="000000"/>
            </w:tcBorders>
          </w:tcPr>
          <w:p w:rsidR="003948D3" w:rsidRDefault="003948D3" w:rsidP="000B4AC9">
            <w:pPr>
              <w:spacing w:before="0" w:after="0"/>
              <w:jc w:val="center"/>
            </w:pPr>
            <w:r>
              <w:t>FitoMas-E (3%)</w:t>
            </w:r>
          </w:p>
          <w:p w:rsidR="003948D3" w:rsidRDefault="003948D3" w:rsidP="000B4AC9">
            <w:pPr>
              <w:spacing w:before="0" w:after="0"/>
              <w:jc w:val="center"/>
            </w:pPr>
            <w:r>
              <w:t>Bayfolán (3%)</w:t>
            </w:r>
          </w:p>
        </w:tc>
      </w:tr>
      <w:tr w:rsidR="003948D3" w:rsidTr="006041CC">
        <w:tc>
          <w:tcPr>
            <w:tcW w:w="968" w:type="pct"/>
            <w:tcBorders>
              <w:top w:val="single" w:sz="12" w:space="0" w:color="000000"/>
              <w:bottom w:val="single" w:sz="12" w:space="0" w:color="000000"/>
            </w:tcBorders>
            <w:vAlign w:val="center"/>
          </w:tcPr>
          <w:p w:rsidR="003948D3" w:rsidRPr="00754EB9" w:rsidRDefault="003948D3" w:rsidP="000B4AC9">
            <w:pPr>
              <w:spacing w:before="0" w:after="0"/>
              <w:jc w:val="center"/>
              <w:rPr>
                <w:i/>
              </w:rPr>
            </w:pPr>
            <w:r w:rsidRPr="00754EB9">
              <w:rPr>
                <w:i/>
              </w:rPr>
              <w:t xml:space="preserve">C. </w:t>
            </w:r>
            <w:proofErr w:type="spellStart"/>
            <w:r w:rsidRPr="00754EB9">
              <w:rPr>
                <w:i/>
              </w:rPr>
              <w:t>zeylanicum</w:t>
            </w:r>
            <w:proofErr w:type="spellEnd"/>
          </w:p>
        </w:tc>
        <w:tc>
          <w:tcPr>
            <w:tcW w:w="968" w:type="pct"/>
            <w:tcBorders>
              <w:top w:val="single" w:sz="12" w:space="0" w:color="000000"/>
              <w:bottom w:val="single" w:sz="12" w:space="0" w:color="000000"/>
            </w:tcBorders>
          </w:tcPr>
          <w:p w:rsidR="003948D3" w:rsidRDefault="003948D3" w:rsidP="000B4AC9">
            <w:pPr>
              <w:spacing w:before="0" w:after="0"/>
              <w:jc w:val="center"/>
            </w:pPr>
            <w:r>
              <w:t>Laboratorio (placas Petri)</w:t>
            </w:r>
          </w:p>
        </w:tc>
        <w:tc>
          <w:tcPr>
            <w:tcW w:w="1125" w:type="pct"/>
            <w:vMerge/>
          </w:tcPr>
          <w:p w:rsidR="003948D3" w:rsidRDefault="003948D3" w:rsidP="000B4AC9">
            <w:pPr>
              <w:spacing w:before="0" w:after="0"/>
              <w:jc w:val="center"/>
            </w:pPr>
          </w:p>
        </w:tc>
        <w:tc>
          <w:tcPr>
            <w:tcW w:w="970" w:type="pct"/>
            <w:tcBorders>
              <w:top w:val="single" w:sz="12" w:space="0" w:color="000000"/>
              <w:bottom w:val="single" w:sz="12" w:space="0" w:color="000000"/>
            </w:tcBorders>
            <w:vAlign w:val="center"/>
          </w:tcPr>
          <w:p w:rsidR="003948D3" w:rsidRDefault="003948D3" w:rsidP="000B4AC9">
            <w:pPr>
              <w:spacing w:before="0" w:after="0"/>
              <w:jc w:val="center"/>
            </w:pPr>
            <w:r>
              <w:t>4 de 25 semillas c/u</w:t>
            </w:r>
          </w:p>
        </w:tc>
        <w:tc>
          <w:tcPr>
            <w:tcW w:w="969" w:type="pct"/>
            <w:tcBorders>
              <w:top w:val="single" w:sz="12" w:space="0" w:color="000000"/>
              <w:bottom w:val="single" w:sz="12" w:space="0" w:color="000000"/>
            </w:tcBorders>
          </w:tcPr>
          <w:p w:rsidR="003948D3" w:rsidRDefault="003948D3" w:rsidP="000B4AC9">
            <w:pPr>
              <w:spacing w:before="0" w:after="0"/>
              <w:jc w:val="center"/>
            </w:pPr>
            <w:r>
              <w:t>FitoMas-E (1% y 2%)</w:t>
            </w:r>
          </w:p>
        </w:tc>
      </w:tr>
      <w:tr w:rsidR="003948D3" w:rsidTr="006041CC">
        <w:tc>
          <w:tcPr>
            <w:tcW w:w="968" w:type="pct"/>
            <w:tcBorders>
              <w:top w:val="single" w:sz="12" w:space="0" w:color="000000"/>
              <w:bottom w:val="single" w:sz="12" w:space="0" w:color="000000"/>
            </w:tcBorders>
            <w:vAlign w:val="center"/>
          </w:tcPr>
          <w:p w:rsidR="003948D3" w:rsidRPr="00754EB9" w:rsidRDefault="003948D3" w:rsidP="000B4AC9">
            <w:pPr>
              <w:spacing w:before="0" w:after="0"/>
              <w:jc w:val="center"/>
              <w:rPr>
                <w:i/>
              </w:rPr>
            </w:pPr>
            <w:r w:rsidRPr="00754EB9">
              <w:rPr>
                <w:i/>
              </w:rPr>
              <w:t>S. mahagoni</w:t>
            </w:r>
          </w:p>
        </w:tc>
        <w:tc>
          <w:tcPr>
            <w:tcW w:w="968" w:type="pct"/>
            <w:tcBorders>
              <w:top w:val="single" w:sz="12" w:space="0" w:color="000000"/>
              <w:bottom w:val="single" w:sz="12" w:space="0" w:color="000000"/>
            </w:tcBorders>
          </w:tcPr>
          <w:p w:rsidR="003948D3" w:rsidRDefault="003948D3" w:rsidP="000B4AC9">
            <w:pPr>
              <w:spacing w:before="0" w:after="0"/>
              <w:jc w:val="center"/>
            </w:pPr>
            <w:r>
              <w:t>Vivero (bandejas multiceldas de polieturano)</w:t>
            </w:r>
          </w:p>
        </w:tc>
        <w:tc>
          <w:tcPr>
            <w:tcW w:w="1125" w:type="pct"/>
            <w:vMerge/>
            <w:tcBorders>
              <w:bottom w:val="single" w:sz="12" w:space="0" w:color="000000"/>
            </w:tcBorders>
          </w:tcPr>
          <w:p w:rsidR="003948D3" w:rsidRDefault="003948D3" w:rsidP="000B4AC9">
            <w:pPr>
              <w:spacing w:before="0" w:after="0"/>
              <w:jc w:val="center"/>
            </w:pPr>
          </w:p>
        </w:tc>
        <w:tc>
          <w:tcPr>
            <w:tcW w:w="970" w:type="pct"/>
            <w:tcBorders>
              <w:top w:val="single" w:sz="12" w:space="0" w:color="000000"/>
              <w:bottom w:val="single" w:sz="12" w:space="0" w:color="000000"/>
            </w:tcBorders>
            <w:vAlign w:val="center"/>
          </w:tcPr>
          <w:p w:rsidR="003948D3" w:rsidRDefault="003948D3" w:rsidP="000B4AC9">
            <w:pPr>
              <w:spacing w:before="0" w:after="0"/>
              <w:jc w:val="center"/>
            </w:pPr>
            <w:r>
              <w:t>4 de 20 semillas c/u</w:t>
            </w:r>
          </w:p>
        </w:tc>
        <w:tc>
          <w:tcPr>
            <w:tcW w:w="969" w:type="pct"/>
            <w:tcBorders>
              <w:top w:val="single" w:sz="12" w:space="0" w:color="000000"/>
              <w:bottom w:val="single" w:sz="12" w:space="0" w:color="000000"/>
            </w:tcBorders>
          </w:tcPr>
          <w:p w:rsidR="003948D3" w:rsidRDefault="003948D3" w:rsidP="000B4AC9">
            <w:pPr>
              <w:spacing w:before="0" w:after="0"/>
              <w:jc w:val="center"/>
            </w:pPr>
            <w:r>
              <w:t>FitoMas-E (0,5%)</w:t>
            </w:r>
          </w:p>
          <w:p w:rsidR="003948D3" w:rsidRDefault="003948D3" w:rsidP="000B4AC9">
            <w:pPr>
              <w:spacing w:before="0" w:after="0"/>
              <w:jc w:val="center"/>
            </w:pPr>
            <w:r>
              <w:t>EM (10%)</w:t>
            </w:r>
          </w:p>
          <w:p w:rsidR="003948D3" w:rsidRDefault="003948D3" w:rsidP="000B4AC9">
            <w:pPr>
              <w:spacing w:before="0" w:after="0"/>
              <w:jc w:val="center"/>
            </w:pPr>
            <w:r>
              <w:t xml:space="preserve">VIUSID </w:t>
            </w:r>
            <w:r w:rsidRPr="00E639BD">
              <w:rPr>
                <w:i/>
              </w:rPr>
              <w:t>Agro</w:t>
            </w:r>
            <w:r>
              <w:t xml:space="preserve"> (0,25%)</w:t>
            </w:r>
          </w:p>
        </w:tc>
      </w:tr>
    </w:tbl>
    <w:p w:rsidR="003948D3" w:rsidRDefault="003948D3" w:rsidP="003948D3">
      <w:r>
        <w:t xml:space="preserve">Los tratamientos en todos los casos consistieron en inmersión de las semillas en soluciones de los bioproductos durante 3 horas en el caso de </w:t>
      </w:r>
      <w:r w:rsidRPr="00754EB9">
        <w:rPr>
          <w:i/>
        </w:rPr>
        <w:t xml:space="preserve">Ch. </w:t>
      </w:r>
      <w:proofErr w:type="spellStart"/>
      <w:r w:rsidRPr="00754EB9">
        <w:rPr>
          <w:i/>
        </w:rPr>
        <w:t>cainito</w:t>
      </w:r>
      <w:proofErr w:type="spellEnd"/>
      <w:r>
        <w:t xml:space="preserve"> y </w:t>
      </w:r>
      <w:r w:rsidRPr="00754EB9">
        <w:rPr>
          <w:i/>
        </w:rPr>
        <w:t xml:space="preserve">C. </w:t>
      </w:r>
      <w:proofErr w:type="spellStart"/>
      <w:r w:rsidRPr="00754EB9">
        <w:rPr>
          <w:i/>
        </w:rPr>
        <w:t>zeylanicum</w:t>
      </w:r>
      <w:proofErr w:type="spellEnd"/>
      <w:r>
        <w:t xml:space="preserve"> y 24 horas en el caso de </w:t>
      </w:r>
      <w:r w:rsidRPr="00754EB9">
        <w:rPr>
          <w:i/>
        </w:rPr>
        <w:t>S. mahagoni</w:t>
      </w:r>
      <w:r>
        <w:t>. El tratamiento testigo consistió en inmersión de las semillas en agua destilada y el control absoluto fueron semillas sin tratar.</w:t>
      </w:r>
    </w:p>
    <w:p w:rsidR="003948D3" w:rsidRDefault="003948D3" w:rsidP="003948D3">
      <w:r>
        <w:t>Se evaluó el porcentaje de germinación total para todas las especies mediante la ecuación matemática:</w:t>
      </w:r>
    </w:p>
    <w:p w:rsidR="00386BCB" w:rsidRPr="00386BCB" w:rsidRDefault="00386BCB" w:rsidP="00386BCB">
      <w:pPr>
        <w:jc w:val="center"/>
        <w:rPr>
          <w:rFonts w:cs="Arial"/>
          <w:sz w:val="28"/>
          <w:szCs w:val="28"/>
        </w:rPr>
      </w:pPr>
      <m:oMath>
        <m:r>
          <w:rPr>
            <w:rFonts w:ascii="Cambria Math" w:hAnsi="Cambria Math" w:cs="Arial"/>
            <w:sz w:val="28"/>
            <w:szCs w:val="28"/>
          </w:rPr>
          <m:t xml:space="preserve">PG= </m:t>
        </m:r>
        <m:f>
          <m:fPr>
            <m:ctrlPr>
              <w:rPr>
                <w:rFonts w:ascii="Cambria Math" w:hAnsi="Cambria Math" w:cs="Arial"/>
                <w:i/>
                <w:sz w:val="28"/>
                <w:szCs w:val="28"/>
              </w:rPr>
            </m:ctrlPr>
          </m:fPr>
          <m:num>
            <m:r>
              <w:rPr>
                <w:rFonts w:ascii="Cambria Math" w:hAnsi="Cambria Math" w:cs="Arial"/>
                <w:sz w:val="28"/>
                <w:szCs w:val="28"/>
              </w:rPr>
              <m:t>semillas germinadas</m:t>
            </m:r>
          </m:num>
          <m:den>
            <m:r>
              <w:rPr>
                <w:rFonts w:ascii="Cambria Math" w:hAnsi="Cambria Math" w:cs="Arial"/>
                <w:sz w:val="28"/>
                <w:szCs w:val="28"/>
              </w:rPr>
              <m:t>semillas sembradas</m:t>
            </m:r>
          </m:den>
        </m:f>
        <m:r>
          <w:rPr>
            <w:rFonts w:ascii="Cambria Math" w:hAnsi="Cambria Math" w:cs="Arial"/>
            <w:sz w:val="28"/>
            <w:szCs w:val="28"/>
          </w:rPr>
          <m:t xml:space="preserve"> . 100</m:t>
        </m:r>
      </m:oMath>
      <w:r w:rsidRPr="00386BCB">
        <w:rPr>
          <w:rFonts w:cs="Arial"/>
          <w:sz w:val="28"/>
          <w:szCs w:val="28"/>
        </w:rPr>
        <w:t xml:space="preserve">       </w:t>
      </w:r>
      <w:r w:rsidRPr="00386BCB">
        <w:rPr>
          <w:rFonts w:cs="Arial"/>
        </w:rPr>
        <w:t>(1)</w:t>
      </w:r>
    </w:p>
    <w:p w:rsidR="00386BCB" w:rsidRPr="00386BCB" w:rsidRDefault="00386BCB" w:rsidP="003948D3"/>
    <w:p w:rsidR="003948D3" w:rsidRDefault="009C6BAF" w:rsidP="003948D3">
      <w:r>
        <w:t xml:space="preserve">En </w:t>
      </w:r>
      <w:r w:rsidRPr="00B94FF9">
        <w:rPr>
          <w:i/>
        </w:rPr>
        <w:t xml:space="preserve">Ch. </w:t>
      </w:r>
      <w:proofErr w:type="spellStart"/>
      <w:r w:rsidRPr="00B94FF9">
        <w:rPr>
          <w:i/>
        </w:rPr>
        <w:t>cainito</w:t>
      </w:r>
      <w:proofErr w:type="spellEnd"/>
      <w:r>
        <w:t xml:space="preserve">, la evaluación final se realizó a los 50 días; en </w:t>
      </w:r>
      <w:r w:rsidRPr="00B94FF9">
        <w:rPr>
          <w:i/>
        </w:rPr>
        <w:t xml:space="preserve">C. </w:t>
      </w:r>
      <w:proofErr w:type="spellStart"/>
      <w:r w:rsidRPr="00B94FF9">
        <w:rPr>
          <w:i/>
        </w:rPr>
        <w:t>zeylanicum</w:t>
      </w:r>
      <w:proofErr w:type="spellEnd"/>
      <w:r>
        <w:t xml:space="preserve"> a los 45 y en </w:t>
      </w:r>
      <w:r w:rsidRPr="00B94FF9">
        <w:rPr>
          <w:i/>
        </w:rPr>
        <w:t>S. mahagoni</w:t>
      </w:r>
      <w:r>
        <w:t xml:space="preserve"> a los 60.</w:t>
      </w:r>
    </w:p>
    <w:p w:rsidR="009C6BAF" w:rsidRDefault="009C6BAF" w:rsidP="009C6BAF">
      <w:pPr>
        <w:pStyle w:val="Ttulo2"/>
      </w:pPr>
      <w:r>
        <w:t>Efecto de los bioproductos sobre la calidad de plantas</w:t>
      </w:r>
    </w:p>
    <w:p w:rsidR="009C6BAF" w:rsidRDefault="009C6BAF" w:rsidP="003948D3">
      <w:pPr>
        <w:rPr>
          <w:lang w:val="es-CU"/>
        </w:rPr>
      </w:pPr>
      <w:r>
        <w:rPr>
          <w:lang w:val="es-CU"/>
        </w:rPr>
        <w:t xml:space="preserve">En la Tabla 3 se presenta la información de los estudios desarrollados en función de evaluar el efecto de los bioproductos sobre </w:t>
      </w:r>
      <w:r w:rsidR="00386BCB">
        <w:rPr>
          <w:lang w:val="es-CU"/>
        </w:rPr>
        <w:t xml:space="preserve">la </w:t>
      </w:r>
      <w:r>
        <w:rPr>
          <w:lang w:val="es-CU"/>
        </w:rPr>
        <w:t>calidad de plantas en vivero.</w:t>
      </w:r>
    </w:p>
    <w:p w:rsidR="009C6BAF" w:rsidRDefault="009C6BAF" w:rsidP="009C6BAF">
      <w:r>
        <w:lastRenderedPageBreak/>
        <w:t>Tabla 3. Diseño de los experimentos relacionados con la aplicación de bioproductos para la calidad de plantas en vivero.</w:t>
      </w:r>
    </w:p>
    <w:tbl>
      <w:tblPr>
        <w:tblStyle w:val="Tablanormal2"/>
        <w:tblW w:w="5000" w:type="pct"/>
        <w:tblLayout w:type="fixed"/>
        <w:tblLook w:val="0620" w:firstRow="1" w:lastRow="0" w:firstColumn="0" w:lastColumn="0" w:noHBand="1" w:noVBand="1"/>
      </w:tblPr>
      <w:tblGrid>
        <w:gridCol w:w="1453"/>
        <w:gridCol w:w="1369"/>
        <w:gridCol w:w="1881"/>
        <w:gridCol w:w="1567"/>
        <w:gridCol w:w="1569"/>
        <w:gridCol w:w="1565"/>
      </w:tblGrid>
      <w:tr w:rsidR="009C6BAF" w:rsidRPr="00537287" w:rsidTr="009C6BAF">
        <w:trPr>
          <w:cnfStyle w:val="100000000000" w:firstRow="1" w:lastRow="0" w:firstColumn="0" w:lastColumn="0" w:oddVBand="0" w:evenVBand="0" w:oddHBand="0" w:evenHBand="0" w:firstRowFirstColumn="0" w:firstRowLastColumn="0" w:lastRowFirstColumn="0" w:lastRowLastColumn="0"/>
        </w:trPr>
        <w:tc>
          <w:tcPr>
            <w:tcW w:w="772" w:type="pct"/>
            <w:tcBorders>
              <w:top w:val="single" w:sz="12" w:space="0" w:color="000000"/>
              <w:bottom w:val="single" w:sz="12" w:space="0" w:color="000000"/>
            </w:tcBorders>
            <w:vAlign w:val="center"/>
          </w:tcPr>
          <w:p w:rsidR="009C6BAF" w:rsidRPr="00537287" w:rsidRDefault="009C6BAF" w:rsidP="008F1B37">
            <w:pPr>
              <w:spacing w:before="0" w:after="0"/>
              <w:jc w:val="center"/>
            </w:pPr>
            <w:r w:rsidRPr="00537287">
              <w:t>Especie</w:t>
            </w:r>
          </w:p>
        </w:tc>
        <w:tc>
          <w:tcPr>
            <w:tcW w:w="728" w:type="pct"/>
            <w:tcBorders>
              <w:top w:val="single" w:sz="12" w:space="0" w:color="000000"/>
              <w:bottom w:val="single" w:sz="12" w:space="0" w:color="000000"/>
            </w:tcBorders>
            <w:vAlign w:val="center"/>
          </w:tcPr>
          <w:p w:rsidR="009C6BAF" w:rsidRPr="00537287" w:rsidRDefault="009C6BAF" w:rsidP="008F1B37">
            <w:pPr>
              <w:spacing w:before="0" w:after="0"/>
              <w:jc w:val="center"/>
            </w:pPr>
            <w:r w:rsidRPr="00537287">
              <w:t>Envases</w:t>
            </w:r>
          </w:p>
        </w:tc>
        <w:tc>
          <w:tcPr>
            <w:tcW w:w="1000" w:type="pct"/>
            <w:tcBorders>
              <w:top w:val="single" w:sz="12" w:space="0" w:color="000000"/>
              <w:bottom w:val="single" w:sz="12" w:space="0" w:color="000000"/>
            </w:tcBorders>
            <w:vAlign w:val="center"/>
          </w:tcPr>
          <w:p w:rsidR="009C6BAF" w:rsidRPr="00537287" w:rsidRDefault="009C6BAF" w:rsidP="008F1B37">
            <w:pPr>
              <w:spacing w:before="0" w:after="0"/>
              <w:jc w:val="center"/>
            </w:pPr>
            <w:r w:rsidRPr="00537287">
              <w:t>Sustrato</w:t>
            </w:r>
          </w:p>
        </w:tc>
        <w:tc>
          <w:tcPr>
            <w:tcW w:w="833" w:type="pct"/>
            <w:tcBorders>
              <w:top w:val="single" w:sz="12" w:space="0" w:color="000000"/>
              <w:bottom w:val="single" w:sz="12" w:space="0" w:color="000000"/>
            </w:tcBorders>
            <w:vAlign w:val="center"/>
          </w:tcPr>
          <w:p w:rsidR="009C6BAF" w:rsidRPr="00537287" w:rsidRDefault="009C6BAF" w:rsidP="008F1B37">
            <w:pPr>
              <w:spacing w:before="0" w:after="0"/>
              <w:jc w:val="center"/>
            </w:pPr>
            <w:r w:rsidRPr="00537287">
              <w:t>Diseño</w:t>
            </w:r>
          </w:p>
        </w:tc>
        <w:tc>
          <w:tcPr>
            <w:tcW w:w="834" w:type="pct"/>
            <w:tcBorders>
              <w:top w:val="single" w:sz="12" w:space="0" w:color="000000"/>
              <w:bottom w:val="single" w:sz="12" w:space="0" w:color="000000"/>
            </w:tcBorders>
            <w:vAlign w:val="center"/>
          </w:tcPr>
          <w:p w:rsidR="009C6BAF" w:rsidRPr="00537287" w:rsidRDefault="009C6BAF" w:rsidP="008F1B37">
            <w:pPr>
              <w:spacing w:before="0" w:after="0"/>
              <w:jc w:val="center"/>
            </w:pPr>
            <w:r w:rsidRPr="00537287">
              <w:t xml:space="preserve">Réplicas por </w:t>
            </w:r>
            <w:proofErr w:type="spellStart"/>
            <w:r w:rsidRPr="00537287">
              <w:t>tratam</w:t>
            </w:r>
            <w:proofErr w:type="spellEnd"/>
            <w:r>
              <w:t>.</w:t>
            </w:r>
          </w:p>
        </w:tc>
        <w:tc>
          <w:tcPr>
            <w:tcW w:w="832" w:type="pct"/>
            <w:tcBorders>
              <w:top w:val="single" w:sz="12" w:space="0" w:color="000000"/>
              <w:bottom w:val="single" w:sz="12" w:space="0" w:color="000000"/>
            </w:tcBorders>
            <w:vAlign w:val="center"/>
          </w:tcPr>
          <w:p w:rsidR="009C6BAF" w:rsidRPr="00537287" w:rsidRDefault="009C6BAF" w:rsidP="008F1B37">
            <w:pPr>
              <w:spacing w:before="0" w:after="0"/>
              <w:jc w:val="center"/>
            </w:pPr>
            <w:proofErr w:type="spellStart"/>
            <w:r w:rsidRPr="00537287">
              <w:t>Bioprod</w:t>
            </w:r>
            <w:proofErr w:type="spellEnd"/>
            <w:r>
              <w:t>.</w:t>
            </w:r>
            <w:r w:rsidRPr="00537287">
              <w:t xml:space="preserve"> y Dosis</w:t>
            </w:r>
          </w:p>
        </w:tc>
      </w:tr>
      <w:tr w:rsidR="009C6BAF" w:rsidTr="009C6BAF">
        <w:tc>
          <w:tcPr>
            <w:tcW w:w="772" w:type="pct"/>
            <w:tcBorders>
              <w:top w:val="single" w:sz="12" w:space="0" w:color="000000"/>
            </w:tcBorders>
            <w:vAlign w:val="center"/>
          </w:tcPr>
          <w:p w:rsidR="009C6BAF" w:rsidRPr="00754EB9" w:rsidRDefault="009C6BAF" w:rsidP="008F1B37">
            <w:pPr>
              <w:spacing w:before="0" w:after="0"/>
              <w:jc w:val="center"/>
              <w:rPr>
                <w:i/>
              </w:rPr>
            </w:pPr>
            <w:r w:rsidRPr="00754EB9">
              <w:rPr>
                <w:i/>
              </w:rPr>
              <w:t xml:space="preserve">Ch. </w:t>
            </w:r>
            <w:proofErr w:type="spellStart"/>
            <w:r w:rsidRPr="00754EB9">
              <w:rPr>
                <w:i/>
              </w:rPr>
              <w:t>cainito</w:t>
            </w:r>
            <w:proofErr w:type="spellEnd"/>
          </w:p>
        </w:tc>
        <w:tc>
          <w:tcPr>
            <w:tcW w:w="728" w:type="pct"/>
            <w:vMerge w:val="restart"/>
            <w:tcBorders>
              <w:top w:val="single" w:sz="12" w:space="0" w:color="000000"/>
            </w:tcBorders>
            <w:vAlign w:val="center"/>
          </w:tcPr>
          <w:p w:rsidR="009C6BAF" w:rsidRDefault="009C6BAF" w:rsidP="008F1B37">
            <w:pPr>
              <w:spacing w:before="0" w:after="0"/>
              <w:jc w:val="center"/>
            </w:pPr>
            <w:r>
              <w:t xml:space="preserve">bolsas de </w:t>
            </w:r>
            <w:proofErr w:type="spellStart"/>
            <w:r>
              <w:t>polietil</w:t>
            </w:r>
            <w:proofErr w:type="spellEnd"/>
            <w:r>
              <w:t>.</w:t>
            </w:r>
          </w:p>
        </w:tc>
        <w:tc>
          <w:tcPr>
            <w:tcW w:w="1000" w:type="pct"/>
            <w:vMerge w:val="restart"/>
            <w:tcBorders>
              <w:top w:val="single" w:sz="12" w:space="0" w:color="000000"/>
            </w:tcBorders>
            <w:vAlign w:val="center"/>
          </w:tcPr>
          <w:p w:rsidR="009C6BAF" w:rsidRDefault="009C6BAF" w:rsidP="008F1B37">
            <w:pPr>
              <w:spacing w:before="0" w:after="0"/>
              <w:jc w:val="center"/>
            </w:pPr>
            <w:r w:rsidRPr="00FD4584">
              <w:t>suelo ferralítico rojo lixiviado</w:t>
            </w:r>
            <w:r>
              <w:t xml:space="preserve"> y  estiércol ovino (3:1)</w:t>
            </w:r>
          </w:p>
        </w:tc>
        <w:tc>
          <w:tcPr>
            <w:tcW w:w="833" w:type="pct"/>
            <w:vMerge w:val="restart"/>
            <w:tcBorders>
              <w:top w:val="single" w:sz="12" w:space="0" w:color="000000"/>
            </w:tcBorders>
            <w:vAlign w:val="center"/>
          </w:tcPr>
          <w:p w:rsidR="009C6BAF" w:rsidRDefault="009C6BAF" w:rsidP="008F1B37">
            <w:pPr>
              <w:spacing w:before="0" w:after="0"/>
              <w:jc w:val="center"/>
            </w:pPr>
            <w:proofErr w:type="spellStart"/>
            <w:r>
              <w:t>Complet</w:t>
            </w:r>
            <w:proofErr w:type="spellEnd"/>
            <w:r>
              <w:t>. al azar</w:t>
            </w:r>
          </w:p>
        </w:tc>
        <w:tc>
          <w:tcPr>
            <w:tcW w:w="834" w:type="pct"/>
            <w:tcBorders>
              <w:top w:val="single" w:sz="12" w:space="0" w:color="000000"/>
            </w:tcBorders>
            <w:vAlign w:val="center"/>
          </w:tcPr>
          <w:p w:rsidR="009C6BAF" w:rsidRDefault="009C6BAF" w:rsidP="008F1B37">
            <w:pPr>
              <w:spacing w:before="0" w:after="0"/>
              <w:jc w:val="center"/>
            </w:pPr>
            <w:r>
              <w:t>3 de 25 plantas</w:t>
            </w:r>
          </w:p>
        </w:tc>
        <w:tc>
          <w:tcPr>
            <w:tcW w:w="832" w:type="pct"/>
            <w:tcBorders>
              <w:top w:val="single" w:sz="12" w:space="0" w:color="000000"/>
            </w:tcBorders>
            <w:vAlign w:val="center"/>
          </w:tcPr>
          <w:p w:rsidR="009C6BAF" w:rsidRDefault="009C6BAF" w:rsidP="008F1B37">
            <w:pPr>
              <w:spacing w:before="0" w:after="0"/>
              <w:jc w:val="center"/>
            </w:pPr>
            <w:r>
              <w:t>FitoMas-E</w:t>
            </w:r>
          </w:p>
          <w:p w:rsidR="009C6BAF" w:rsidRDefault="009C6BAF" w:rsidP="008F1B37">
            <w:pPr>
              <w:spacing w:before="0" w:after="0"/>
              <w:jc w:val="center"/>
            </w:pPr>
            <w:r>
              <w:t>(1, 2 y 3%)</w:t>
            </w:r>
          </w:p>
          <w:p w:rsidR="009C6BAF" w:rsidRDefault="009C6BAF" w:rsidP="008F1B37">
            <w:pPr>
              <w:spacing w:before="0" w:after="0"/>
              <w:jc w:val="center"/>
            </w:pPr>
            <w:r>
              <w:t>Bayfolán (0,2; 0,3 y 0,4%)</w:t>
            </w:r>
          </w:p>
        </w:tc>
      </w:tr>
      <w:tr w:rsidR="009C6BAF" w:rsidTr="009C6BAF">
        <w:tc>
          <w:tcPr>
            <w:tcW w:w="772" w:type="pct"/>
            <w:tcBorders>
              <w:top w:val="single" w:sz="12" w:space="0" w:color="000000"/>
              <w:bottom w:val="single" w:sz="12" w:space="0" w:color="000000"/>
            </w:tcBorders>
            <w:vAlign w:val="center"/>
          </w:tcPr>
          <w:p w:rsidR="009C6BAF" w:rsidRPr="00754EB9" w:rsidRDefault="009C6BAF" w:rsidP="008F1B37">
            <w:pPr>
              <w:spacing w:before="0" w:after="0"/>
              <w:jc w:val="center"/>
              <w:rPr>
                <w:i/>
              </w:rPr>
            </w:pPr>
            <w:r w:rsidRPr="00754EB9">
              <w:rPr>
                <w:i/>
              </w:rPr>
              <w:t xml:space="preserve">C. </w:t>
            </w:r>
            <w:proofErr w:type="spellStart"/>
            <w:r w:rsidRPr="00754EB9">
              <w:rPr>
                <w:i/>
              </w:rPr>
              <w:t>zeylanicum</w:t>
            </w:r>
            <w:proofErr w:type="spellEnd"/>
          </w:p>
        </w:tc>
        <w:tc>
          <w:tcPr>
            <w:tcW w:w="728" w:type="pct"/>
            <w:vMerge/>
            <w:tcBorders>
              <w:bottom w:val="single" w:sz="12" w:space="0" w:color="000000"/>
            </w:tcBorders>
            <w:vAlign w:val="center"/>
          </w:tcPr>
          <w:p w:rsidR="009C6BAF" w:rsidRDefault="009C6BAF" w:rsidP="008F1B37">
            <w:pPr>
              <w:spacing w:before="0" w:after="0"/>
              <w:jc w:val="center"/>
            </w:pPr>
          </w:p>
        </w:tc>
        <w:tc>
          <w:tcPr>
            <w:tcW w:w="1000" w:type="pct"/>
            <w:vMerge/>
            <w:tcBorders>
              <w:bottom w:val="single" w:sz="12" w:space="0" w:color="000000"/>
            </w:tcBorders>
            <w:vAlign w:val="center"/>
          </w:tcPr>
          <w:p w:rsidR="009C6BAF" w:rsidRDefault="009C6BAF" w:rsidP="008F1B37">
            <w:pPr>
              <w:spacing w:before="0" w:after="0"/>
              <w:jc w:val="center"/>
            </w:pPr>
          </w:p>
        </w:tc>
        <w:tc>
          <w:tcPr>
            <w:tcW w:w="833" w:type="pct"/>
            <w:vMerge/>
            <w:vAlign w:val="center"/>
          </w:tcPr>
          <w:p w:rsidR="009C6BAF" w:rsidRDefault="009C6BAF" w:rsidP="008F1B37">
            <w:pPr>
              <w:spacing w:before="0" w:after="0"/>
              <w:jc w:val="center"/>
            </w:pPr>
          </w:p>
        </w:tc>
        <w:tc>
          <w:tcPr>
            <w:tcW w:w="834" w:type="pct"/>
            <w:tcBorders>
              <w:top w:val="single" w:sz="12" w:space="0" w:color="000000"/>
              <w:bottom w:val="single" w:sz="12" w:space="0" w:color="000000"/>
            </w:tcBorders>
            <w:vAlign w:val="center"/>
          </w:tcPr>
          <w:p w:rsidR="009C6BAF" w:rsidRDefault="009C6BAF" w:rsidP="008F1B37">
            <w:pPr>
              <w:spacing w:before="0" w:after="0"/>
              <w:jc w:val="center"/>
            </w:pPr>
            <w:r>
              <w:t>3 de 25 plantas</w:t>
            </w:r>
          </w:p>
        </w:tc>
        <w:tc>
          <w:tcPr>
            <w:tcW w:w="832" w:type="pct"/>
            <w:tcBorders>
              <w:top w:val="single" w:sz="12" w:space="0" w:color="000000"/>
              <w:bottom w:val="single" w:sz="12" w:space="0" w:color="000000"/>
            </w:tcBorders>
            <w:vAlign w:val="center"/>
          </w:tcPr>
          <w:p w:rsidR="009C6BAF" w:rsidRDefault="009C6BAF" w:rsidP="008F1B37">
            <w:pPr>
              <w:spacing w:before="0" w:after="0"/>
              <w:jc w:val="center"/>
            </w:pPr>
            <w:r>
              <w:t>FitoMas-E (1% y 2%)</w:t>
            </w:r>
          </w:p>
        </w:tc>
      </w:tr>
      <w:tr w:rsidR="009C6BAF" w:rsidTr="009C6BAF">
        <w:tc>
          <w:tcPr>
            <w:tcW w:w="772" w:type="pct"/>
            <w:tcBorders>
              <w:top w:val="single" w:sz="12" w:space="0" w:color="000000"/>
              <w:bottom w:val="single" w:sz="12" w:space="0" w:color="000000"/>
            </w:tcBorders>
            <w:vAlign w:val="center"/>
          </w:tcPr>
          <w:p w:rsidR="009C6BAF" w:rsidRPr="00754EB9" w:rsidRDefault="009C6BAF" w:rsidP="008F1B37">
            <w:pPr>
              <w:spacing w:before="0" w:after="0"/>
              <w:jc w:val="center"/>
              <w:rPr>
                <w:i/>
              </w:rPr>
            </w:pPr>
            <w:r w:rsidRPr="00754EB9">
              <w:rPr>
                <w:i/>
              </w:rPr>
              <w:t>S. mahagoni</w:t>
            </w:r>
          </w:p>
        </w:tc>
        <w:tc>
          <w:tcPr>
            <w:tcW w:w="728" w:type="pct"/>
            <w:tcBorders>
              <w:top w:val="single" w:sz="12" w:space="0" w:color="000000"/>
              <w:bottom w:val="single" w:sz="12" w:space="0" w:color="000000"/>
            </w:tcBorders>
            <w:vAlign w:val="center"/>
          </w:tcPr>
          <w:p w:rsidR="009C6BAF" w:rsidRDefault="009C6BAF" w:rsidP="008F1B37">
            <w:pPr>
              <w:spacing w:before="0" w:after="0"/>
              <w:jc w:val="center"/>
            </w:pPr>
            <w:r>
              <w:t xml:space="preserve">bandejas plásticas </w:t>
            </w:r>
            <w:proofErr w:type="spellStart"/>
            <w:r>
              <w:t>multiceld</w:t>
            </w:r>
            <w:proofErr w:type="spellEnd"/>
            <w:r>
              <w:t>.</w:t>
            </w:r>
          </w:p>
        </w:tc>
        <w:tc>
          <w:tcPr>
            <w:tcW w:w="1000" w:type="pct"/>
            <w:tcBorders>
              <w:top w:val="single" w:sz="12" w:space="0" w:color="000000"/>
              <w:bottom w:val="single" w:sz="12" w:space="0" w:color="000000"/>
            </w:tcBorders>
            <w:vAlign w:val="center"/>
          </w:tcPr>
          <w:p w:rsidR="009C6BAF" w:rsidRDefault="009C6BAF" w:rsidP="008F1B37">
            <w:pPr>
              <w:spacing w:before="0" w:after="0"/>
              <w:jc w:val="center"/>
            </w:pPr>
            <w:r>
              <w:t xml:space="preserve"> estiércol bovino y</w:t>
            </w:r>
            <w:r w:rsidRPr="00FD4584">
              <w:t xml:space="preserve"> cáscara de café </w:t>
            </w:r>
            <w:proofErr w:type="spellStart"/>
            <w:r w:rsidRPr="00FD4584">
              <w:t>semicompost</w:t>
            </w:r>
            <w:proofErr w:type="spellEnd"/>
            <w:r>
              <w:t>. (3:1)</w:t>
            </w:r>
          </w:p>
        </w:tc>
        <w:tc>
          <w:tcPr>
            <w:tcW w:w="833" w:type="pct"/>
            <w:vMerge/>
            <w:tcBorders>
              <w:bottom w:val="single" w:sz="12" w:space="0" w:color="000000"/>
            </w:tcBorders>
            <w:vAlign w:val="center"/>
          </w:tcPr>
          <w:p w:rsidR="009C6BAF" w:rsidRDefault="009C6BAF" w:rsidP="008F1B37">
            <w:pPr>
              <w:spacing w:before="0" w:after="0"/>
              <w:jc w:val="center"/>
            </w:pPr>
          </w:p>
        </w:tc>
        <w:tc>
          <w:tcPr>
            <w:tcW w:w="834" w:type="pct"/>
            <w:tcBorders>
              <w:top w:val="single" w:sz="12" w:space="0" w:color="000000"/>
              <w:bottom w:val="single" w:sz="12" w:space="0" w:color="000000"/>
            </w:tcBorders>
            <w:vAlign w:val="center"/>
          </w:tcPr>
          <w:p w:rsidR="009C6BAF" w:rsidRDefault="009C6BAF" w:rsidP="008F1B37">
            <w:pPr>
              <w:spacing w:before="0" w:after="0"/>
              <w:jc w:val="center"/>
            </w:pPr>
            <w:r>
              <w:t>3 de 48 plantas</w:t>
            </w:r>
          </w:p>
        </w:tc>
        <w:tc>
          <w:tcPr>
            <w:tcW w:w="832" w:type="pct"/>
            <w:tcBorders>
              <w:top w:val="single" w:sz="12" w:space="0" w:color="000000"/>
              <w:bottom w:val="single" w:sz="12" w:space="0" w:color="000000"/>
            </w:tcBorders>
            <w:vAlign w:val="center"/>
          </w:tcPr>
          <w:p w:rsidR="009C6BAF" w:rsidRDefault="009C6BAF" w:rsidP="008F1B37">
            <w:pPr>
              <w:spacing w:before="0" w:after="0"/>
              <w:jc w:val="center"/>
            </w:pPr>
            <w:r>
              <w:t xml:space="preserve">VIUSID </w:t>
            </w:r>
            <w:r w:rsidRPr="00E639BD">
              <w:rPr>
                <w:i/>
              </w:rPr>
              <w:t>Agro</w:t>
            </w:r>
            <w:r>
              <w:t xml:space="preserve"> (</w:t>
            </w:r>
            <w:r w:rsidRPr="00F87F48">
              <w:t>0.25, 0.50 y 0.75 Lha</w:t>
            </w:r>
            <w:r w:rsidRPr="00F87F48">
              <w:rPr>
                <w:vertAlign w:val="superscript"/>
              </w:rPr>
              <w:t>-1</w:t>
            </w:r>
            <w:r>
              <w:t>)</w:t>
            </w:r>
          </w:p>
        </w:tc>
      </w:tr>
    </w:tbl>
    <w:p w:rsidR="00386BCB" w:rsidRDefault="00386BCB" w:rsidP="009C6BAF"/>
    <w:p w:rsidR="009C6BAF" w:rsidRDefault="009C6BAF" w:rsidP="009C6BAF">
      <w:r>
        <w:t>Los tratamientos consistieron en aspersiones foliares de las soluciones de bioproductos de la siguiente manera:</w:t>
      </w:r>
    </w:p>
    <w:p w:rsidR="009C6BAF" w:rsidRDefault="009C6BAF" w:rsidP="009C6BAF">
      <w:r w:rsidRPr="00FD4584">
        <w:rPr>
          <w:i/>
        </w:rPr>
        <w:t xml:space="preserve">Ch. </w:t>
      </w:r>
      <w:proofErr w:type="spellStart"/>
      <w:r w:rsidRPr="00FD4584">
        <w:rPr>
          <w:i/>
        </w:rPr>
        <w:t>cainito</w:t>
      </w:r>
      <w:proofErr w:type="spellEnd"/>
      <w:r>
        <w:t xml:space="preserve"> y </w:t>
      </w:r>
      <w:r w:rsidRPr="00FD4584">
        <w:rPr>
          <w:i/>
        </w:rPr>
        <w:t xml:space="preserve">C. </w:t>
      </w:r>
      <w:proofErr w:type="spellStart"/>
      <w:r w:rsidRPr="00FD4584">
        <w:rPr>
          <w:i/>
        </w:rPr>
        <w:t>zeylanicum</w:t>
      </w:r>
      <w:proofErr w:type="spellEnd"/>
      <w:r>
        <w:t>: tres veces al día con frecuencia quincenal.</w:t>
      </w:r>
    </w:p>
    <w:p w:rsidR="009C6BAF" w:rsidRDefault="009C6BAF" w:rsidP="009C6BAF">
      <w:r w:rsidRPr="00FD4584">
        <w:rPr>
          <w:i/>
        </w:rPr>
        <w:t>S. mahagoni</w:t>
      </w:r>
      <w:r>
        <w:t>: una vez al día con frecuencia semanal</w:t>
      </w:r>
      <w:r w:rsidR="00E92B74">
        <w:t>.</w:t>
      </w:r>
    </w:p>
    <w:p w:rsidR="009C6BAF" w:rsidRDefault="009C6BAF" w:rsidP="009C6BAF">
      <w:r>
        <w:t>El tratamiento testigo consistió en plantas sin aplicación de bioproductos</w:t>
      </w:r>
      <w:r w:rsidR="00E92B74">
        <w:t>.</w:t>
      </w:r>
    </w:p>
    <w:p w:rsidR="009C6BAF" w:rsidRDefault="009C6BAF" w:rsidP="009C6BAF">
      <w:r>
        <w:t xml:space="preserve">Las variables evaluadas referidas a calidad de plantas en vivero </w:t>
      </w:r>
      <w:r w:rsidR="00386BCB">
        <w:t>fueron</w:t>
      </w:r>
      <w:r>
        <w:t xml:space="preserve"> las siguientes:</w:t>
      </w:r>
    </w:p>
    <w:p w:rsidR="009C6BAF" w:rsidRDefault="009C6BAF" w:rsidP="009C6BAF">
      <w:r>
        <w:t>Atributos morfológicos:</w:t>
      </w:r>
    </w:p>
    <w:p w:rsidR="009C6BAF" w:rsidRPr="00F22BA7" w:rsidRDefault="009C6BAF" w:rsidP="009C6BAF">
      <w:r>
        <w:t xml:space="preserve">Altura </w:t>
      </w:r>
      <w:r>
        <w:rPr>
          <w:rFonts w:cs="Arial"/>
        </w:rPr>
        <w:t>[</w:t>
      </w:r>
      <w:r>
        <w:t>H</w:t>
      </w:r>
      <w:r>
        <w:rPr>
          <w:rFonts w:cs="Arial"/>
        </w:rPr>
        <w:t xml:space="preserve">] </w:t>
      </w:r>
      <w:r>
        <w:t>(cm). C</w:t>
      </w:r>
      <w:r w:rsidRPr="00F22BA7">
        <w:t>on una regla graduada, desde el cuello de la raíz hasta la yema</w:t>
      </w:r>
      <w:r>
        <w:t xml:space="preserve"> </w:t>
      </w:r>
      <w:r w:rsidRPr="00F22BA7">
        <w:t>apical de la planta.</w:t>
      </w:r>
    </w:p>
    <w:p w:rsidR="009C6BAF" w:rsidRDefault="009C6BAF" w:rsidP="009C6BAF">
      <w:r>
        <w:lastRenderedPageBreak/>
        <w:t xml:space="preserve">Diámetro en el cuello de la raíz </w:t>
      </w:r>
      <w:r>
        <w:rPr>
          <w:rFonts w:cs="Arial"/>
        </w:rPr>
        <w:t>[</w:t>
      </w:r>
      <w:r>
        <w:t>DCR</w:t>
      </w:r>
      <w:r>
        <w:rPr>
          <w:rFonts w:cs="Arial"/>
        </w:rPr>
        <w:t>]</w:t>
      </w:r>
      <w:r>
        <w:t xml:space="preserve"> (mm).</w:t>
      </w:r>
      <w:r w:rsidRPr="00F22BA7">
        <w:t xml:space="preserve"> </w:t>
      </w:r>
      <w:r>
        <w:t>C</w:t>
      </w:r>
      <w:r w:rsidRPr="00F22BA7">
        <w:t>on un pie de rey justamente en el punto de unión entre tallo y raíz</w:t>
      </w:r>
      <w:r>
        <w:t>.</w:t>
      </w:r>
    </w:p>
    <w:p w:rsidR="009C6BAF" w:rsidRDefault="009C6BAF" w:rsidP="009C6BAF">
      <w:r>
        <w:t xml:space="preserve">Volumen de raíces </w:t>
      </w:r>
      <w:r>
        <w:rPr>
          <w:rFonts w:cs="Arial"/>
        </w:rPr>
        <w:t>[</w:t>
      </w:r>
      <w:r>
        <w:t>VR</w:t>
      </w:r>
      <w:r>
        <w:rPr>
          <w:rFonts w:cs="Arial"/>
        </w:rPr>
        <w:t>] (cm</w:t>
      </w:r>
      <w:r w:rsidRPr="006561C9">
        <w:rPr>
          <w:rFonts w:cs="Arial"/>
          <w:vertAlign w:val="superscript"/>
        </w:rPr>
        <w:t>3</w:t>
      </w:r>
      <w:r>
        <w:rPr>
          <w:rFonts w:cs="Arial"/>
        </w:rPr>
        <w:t>). P</w:t>
      </w:r>
      <w:r w:rsidRPr="00BC7E34">
        <w:rPr>
          <w:rFonts w:cs="Arial"/>
        </w:rPr>
        <w:t>or el método de desplazamiento, utilizando una probeta de 100 mL y agua común</w:t>
      </w:r>
      <w:r>
        <w:rPr>
          <w:rFonts w:cs="Arial"/>
        </w:rPr>
        <w:t>.</w:t>
      </w:r>
    </w:p>
    <w:p w:rsidR="009C6BAF" w:rsidRDefault="009C6BAF" w:rsidP="009C6BAF">
      <w:r>
        <w:t xml:space="preserve">Biomasa seca aérea </w:t>
      </w:r>
      <w:r>
        <w:rPr>
          <w:rFonts w:cs="Arial"/>
        </w:rPr>
        <w:t>[</w:t>
      </w:r>
      <w:r>
        <w:t>BSA</w:t>
      </w:r>
      <w:r>
        <w:rPr>
          <w:rFonts w:cs="Arial"/>
        </w:rPr>
        <w:t>]</w:t>
      </w:r>
      <w:r>
        <w:t xml:space="preserve"> (g). </w:t>
      </w:r>
      <w:r w:rsidR="00E92B74">
        <w:t>E</w:t>
      </w:r>
      <w:r w:rsidRPr="00BC7E34">
        <w:t>l tallo y follaje de las plantas fueron sometidos a un proceso de deshidratación, se realizaron pesajes sucesivos en balanza analítica hasta la obtención de valores constantes</w:t>
      </w:r>
      <w:r>
        <w:t>.</w:t>
      </w:r>
    </w:p>
    <w:p w:rsidR="009C6BAF" w:rsidRDefault="009C6BAF" w:rsidP="009C6BAF">
      <w:r>
        <w:t xml:space="preserve">Biomasa seca radicular </w:t>
      </w:r>
      <w:r>
        <w:rPr>
          <w:rFonts w:cs="Arial"/>
        </w:rPr>
        <w:t>[</w:t>
      </w:r>
      <w:r>
        <w:t>BSR</w:t>
      </w:r>
      <w:r>
        <w:rPr>
          <w:rFonts w:cs="Arial"/>
        </w:rPr>
        <w:t>]</w:t>
      </w:r>
      <w:r>
        <w:t xml:space="preserve"> (g). </w:t>
      </w:r>
      <w:r w:rsidR="00E92B74">
        <w:t>I</w:t>
      </w:r>
      <w:r w:rsidRPr="00BC7E34">
        <w:t>gual a la anterior, pero deshidratando y determinando la masa solo de las raíces libres de sustrato.</w:t>
      </w:r>
    </w:p>
    <w:p w:rsidR="009C6BAF" w:rsidRDefault="009C6BAF" w:rsidP="009C6BAF">
      <w:r>
        <w:t xml:space="preserve">Relación parte aérea/parte radicular </w:t>
      </w:r>
      <w:r>
        <w:rPr>
          <w:rFonts w:cs="Arial"/>
        </w:rPr>
        <w:t>[</w:t>
      </w:r>
      <w:r>
        <w:t>PA/PR</w:t>
      </w:r>
      <w:r>
        <w:rPr>
          <w:rFonts w:cs="Arial"/>
        </w:rPr>
        <w:t>]</w:t>
      </w:r>
      <w:r>
        <w:t>.</w:t>
      </w:r>
      <w:r w:rsidRPr="00BC7E34">
        <w:t xml:space="preserve"> se obtiene de dividir el valor de la biomasa seca aérea y el de la biomasa seca radicular.</w:t>
      </w:r>
    </w:p>
    <w:p w:rsidR="009C6BAF" w:rsidRDefault="009C6BAF" w:rsidP="009C6BAF">
      <w:r>
        <w:t>Índices morfológicos:</w:t>
      </w:r>
    </w:p>
    <w:p w:rsidR="009C6BAF" w:rsidRDefault="009C6BAF" w:rsidP="009C6BAF">
      <w:pPr>
        <w:rPr>
          <w:rFonts w:cs="Arial"/>
        </w:rPr>
      </w:pPr>
      <w:r>
        <w:t xml:space="preserve">Esbeltez </w:t>
      </w:r>
      <w:r>
        <w:rPr>
          <w:rFonts w:cs="Arial"/>
        </w:rPr>
        <w:t>[</w:t>
      </w:r>
      <w:r>
        <w:t>H/D</w:t>
      </w:r>
      <w:r>
        <w:rPr>
          <w:rFonts w:cs="Arial"/>
        </w:rPr>
        <w:t>].</w:t>
      </w:r>
    </w:p>
    <w:p w:rsidR="009C6BAF" w:rsidRPr="00BC7E34" w:rsidRDefault="00982868" w:rsidP="009C6BAF">
      <w:pPr>
        <w:jc w:val="center"/>
        <w:rPr>
          <w:rFonts w:cs="Arial"/>
          <w:sz w:val="28"/>
          <w:szCs w:val="28"/>
        </w:rPr>
      </w:pPr>
      <m:oMath>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D</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Altura Total (cm)</m:t>
            </m:r>
          </m:num>
          <m:den>
            <m:r>
              <w:rPr>
                <w:rFonts w:ascii="Cambria Math" w:hAnsi="Cambria Math" w:cs="Arial"/>
                <w:sz w:val="28"/>
                <w:szCs w:val="28"/>
              </w:rPr>
              <m:t>DCR (mm)</m:t>
            </m:r>
          </m:den>
        </m:f>
      </m:oMath>
      <w:r w:rsidR="009C6BAF" w:rsidRPr="00BC7E34">
        <w:rPr>
          <w:rFonts w:cs="Arial"/>
          <w:sz w:val="28"/>
          <w:szCs w:val="28"/>
        </w:rPr>
        <w:t xml:space="preserve">             </w:t>
      </w:r>
      <w:r w:rsidR="009C6BAF" w:rsidRPr="00BC7E34">
        <w:rPr>
          <w:rFonts w:cs="Arial"/>
          <w:sz w:val="20"/>
          <w:szCs w:val="20"/>
        </w:rPr>
        <w:t>(</w:t>
      </w:r>
      <w:r w:rsidR="00386BCB">
        <w:rPr>
          <w:rFonts w:cs="Arial"/>
          <w:sz w:val="20"/>
          <w:szCs w:val="20"/>
        </w:rPr>
        <w:t>2</w:t>
      </w:r>
      <w:r w:rsidR="009C6BAF" w:rsidRPr="00BC7E34">
        <w:rPr>
          <w:rFonts w:cs="Arial"/>
          <w:sz w:val="20"/>
          <w:szCs w:val="20"/>
        </w:rPr>
        <w:t>)</w:t>
      </w:r>
    </w:p>
    <w:p w:rsidR="009C6BAF" w:rsidRDefault="009C6BAF" w:rsidP="009C6BAF">
      <w:pPr>
        <w:rPr>
          <w:rFonts w:cs="Arial"/>
        </w:rPr>
      </w:pPr>
      <w:r>
        <w:rPr>
          <w:rFonts w:cs="Arial"/>
        </w:rPr>
        <w:t xml:space="preserve">Índice de calidad de </w:t>
      </w:r>
      <w:proofErr w:type="spellStart"/>
      <w:r>
        <w:rPr>
          <w:rFonts w:cs="Arial"/>
        </w:rPr>
        <w:t>Dickson</w:t>
      </w:r>
      <w:proofErr w:type="spellEnd"/>
      <w:r>
        <w:rPr>
          <w:rFonts w:cs="Arial"/>
        </w:rPr>
        <w:t xml:space="preserve"> [</w:t>
      </w:r>
      <w:r>
        <w:t>QI</w:t>
      </w:r>
      <w:r>
        <w:rPr>
          <w:rFonts w:cs="Arial"/>
        </w:rPr>
        <w:t>].</w:t>
      </w:r>
    </w:p>
    <w:p w:rsidR="009C6BAF" w:rsidRPr="00BC7E34" w:rsidRDefault="009C6BAF" w:rsidP="009C6BAF">
      <w:pPr>
        <w:jc w:val="center"/>
        <w:rPr>
          <w:rFonts w:cs="Arial"/>
          <w:i/>
          <w:sz w:val="28"/>
          <w:szCs w:val="28"/>
        </w:rPr>
      </w:pPr>
      <m:oMath>
        <m:r>
          <w:rPr>
            <w:rFonts w:ascii="Cambria Math" w:hAnsi="Cambria Math" w:cs="Arial"/>
            <w:sz w:val="28"/>
            <w:szCs w:val="28"/>
          </w:rPr>
          <m:t>QI=</m:t>
        </m:r>
        <m:f>
          <m:fPr>
            <m:ctrlPr>
              <w:rPr>
                <w:rFonts w:ascii="Cambria Math" w:hAnsi="Cambria Math" w:cs="Arial"/>
                <w:i/>
                <w:sz w:val="28"/>
                <w:szCs w:val="28"/>
              </w:rPr>
            </m:ctrlPr>
          </m:fPr>
          <m:num>
            <m:r>
              <w:rPr>
                <w:rFonts w:ascii="Cambria Math" w:hAnsi="Cambria Math" w:cs="Arial"/>
                <w:sz w:val="28"/>
                <w:szCs w:val="28"/>
              </w:rPr>
              <m:t>Biomasa seca total de la planta (g)</m:t>
            </m:r>
          </m:num>
          <m:den>
            <m:r>
              <w:rPr>
                <w:rFonts w:ascii="Cambria Math" w:hAnsi="Cambria Math" w:cs="Arial"/>
                <w:sz w:val="28"/>
                <w:szCs w:val="28"/>
              </w:rPr>
              <m:t>E+</m:t>
            </m:r>
            <m:f>
              <m:fPr>
                <m:ctrlPr>
                  <w:rPr>
                    <w:rFonts w:ascii="Cambria Math" w:hAnsi="Cambria Math" w:cs="Arial"/>
                    <w:i/>
                    <w:sz w:val="28"/>
                    <w:szCs w:val="28"/>
                  </w:rPr>
                </m:ctrlPr>
              </m:fPr>
              <m:num>
                <m:r>
                  <w:rPr>
                    <w:rFonts w:ascii="Cambria Math" w:hAnsi="Cambria Math" w:cs="Arial"/>
                    <w:sz w:val="28"/>
                    <w:szCs w:val="28"/>
                  </w:rPr>
                  <m:t>Biomasa seca aerea (g)</m:t>
                </m:r>
              </m:num>
              <m:den>
                <m:r>
                  <w:rPr>
                    <w:rFonts w:ascii="Cambria Math" w:hAnsi="Cambria Math" w:cs="Arial"/>
                    <w:sz w:val="28"/>
                    <w:szCs w:val="28"/>
                  </w:rPr>
                  <m:t>Biomasa seca radicular (g)</m:t>
                </m:r>
              </m:den>
            </m:f>
          </m:den>
        </m:f>
      </m:oMath>
      <w:r w:rsidRPr="00BC7E34">
        <w:rPr>
          <w:rFonts w:cs="Arial"/>
          <w:sz w:val="28"/>
          <w:szCs w:val="28"/>
        </w:rPr>
        <w:t xml:space="preserve">     </w:t>
      </w:r>
      <w:r w:rsidRPr="00BC7E34">
        <w:rPr>
          <w:rFonts w:cs="Arial"/>
          <w:sz w:val="20"/>
          <w:szCs w:val="20"/>
        </w:rPr>
        <w:t>(</w:t>
      </w:r>
      <w:r w:rsidR="00386BCB">
        <w:rPr>
          <w:rFonts w:cs="Arial"/>
          <w:sz w:val="20"/>
          <w:szCs w:val="20"/>
        </w:rPr>
        <w:t>3</w:t>
      </w:r>
      <w:r w:rsidRPr="00BC7E34">
        <w:rPr>
          <w:rFonts w:cs="Arial"/>
          <w:sz w:val="20"/>
          <w:szCs w:val="20"/>
        </w:rPr>
        <w:t>)</w:t>
      </w:r>
    </w:p>
    <w:p w:rsidR="009C6BAF" w:rsidRDefault="009C6BAF" w:rsidP="009C6BAF">
      <w:pPr>
        <w:rPr>
          <w:rFonts w:cs="Arial"/>
        </w:rPr>
      </w:pPr>
    </w:p>
    <w:p w:rsidR="009C6BAF" w:rsidRDefault="009C6BAF" w:rsidP="009C6BAF">
      <w:pPr>
        <w:rPr>
          <w:rFonts w:cs="Arial"/>
        </w:rPr>
      </w:pPr>
      <w:r>
        <w:rPr>
          <w:rFonts w:cs="Arial"/>
        </w:rPr>
        <w:t>Índice de lignificación [</w:t>
      </w:r>
      <w:r>
        <w:t>IL</w:t>
      </w:r>
      <w:r>
        <w:rPr>
          <w:rFonts w:cs="Arial"/>
        </w:rPr>
        <w:t>].</w:t>
      </w:r>
    </w:p>
    <w:p w:rsidR="009C6BAF" w:rsidRPr="00BC7E34" w:rsidRDefault="009C6BAF" w:rsidP="009C6BAF">
      <w:pPr>
        <w:jc w:val="center"/>
        <w:rPr>
          <w:rFonts w:cs="Arial"/>
          <w:sz w:val="28"/>
          <w:szCs w:val="28"/>
        </w:rPr>
      </w:pPr>
      <m:oMath>
        <m:r>
          <w:rPr>
            <w:rFonts w:ascii="Cambria Math" w:hAnsi="Cambria Math" w:cs="Arial"/>
            <w:sz w:val="28"/>
            <w:szCs w:val="28"/>
          </w:rPr>
          <m:t>IL=</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Biomasa seca total de la planta (g)</m:t>
                </m:r>
              </m:num>
              <m:den>
                <m:r>
                  <w:rPr>
                    <w:rFonts w:ascii="Cambria Math" w:hAnsi="Cambria Math" w:cs="Arial"/>
                    <w:sz w:val="28"/>
                    <w:szCs w:val="28"/>
                  </w:rPr>
                  <m:t>Biomasa fresca total de la planta (g)</m:t>
                </m:r>
              </m:den>
            </m:f>
          </m:e>
        </m:d>
        <m:r>
          <w:rPr>
            <w:rFonts w:ascii="Cambria Math" w:hAnsi="Cambria Math" w:cs="Arial"/>
            <w:sz w:val="28"/>
            <w:szCs w:val="28"/>
          </w:rPr>
          <m:t>100</m:t>
        </m:r>
      </m:oMath>
      <w:r w:rsidRPr="00BC7E34">
        <w:rPr>
          <w:rFonts w:cs="Arial"/>
          <w:sz w:val="28"/>
          <w:szCs w:val="28"/>
        </w:rPr>
        <w:t xml:space="preserve">            </w:t>
      </w:r>
      <w:r w:rsidRPr="00BC7E34">
        <w:rPr>
          <w:rFonts w:cs="Arial"/>
          <w:sz w:val="20"/>
          <w:szCs w:val="20"/>
        </w:rPr>
        <w:t>(</w:t>
      </w:r>
      <w:r w:rsidR="00386BCB">
        <w:rPr>
          <w:rFonts w:cs="Arial"/>
          <w:sz w:val="20"/>
          <w:szCs w:val="20"/>
        </w:rPr>
        <w:t>4</w:t>
      </w:r>
      <w:r w:rsidRPr="00BC7E34">
        <w:rPr>
          <w:rFonts w:cs="Arial"/>
          <w:sz w:val="20"/>
          <w:szCs w:val="20"/>
        </w:rPr>
        <w:t>)</w:t>
      </w:r>
    </w:p>
    <w:p w:rsidR="009C6BAF" w:rsidRDefault="009C6BAF" w:rsidP="009C6BAF">
      <w:pPr>
        <w:rPr>
          <w:rFonts w:cs="Arial"/>
        </w:rPr>
      </w:pPr>
      <w:r>
        <w:rPr>
          <w:rFonts w:cs="Arial"/>
        </w:rPr>
        <w:t>Las evaluaciones finales se realizaron a los 120 días de permanencia en vivero.</w:t>
      </w:r>
    </w:p>
    <w:p w:rsidR="009C6BAF" w:rsidRDefault="00780F36" w:rsidP="00780F36">
      <w:pPr>
        <w:pStyle w:val="Ttulo2"/>
        <w:rPr>
          <w:lang w:val="es-CU"/>
        </w:rPr>
      </w:pPr>
      <w:r>
        <w:rPr>
          <w:lang w:val="es-CU"/>
        </w:rPr>
        <w:t>Análisis estadístico</w:t>
      </w:r>
    </w:p>
    <w:p w:rsidR="00780F36" w:rsidRDefault="00780F36" w:rsidP="00780F36">
      <w:pPr>
        <w:rPr>
          <w:rFonts w:cs="Arial"/>
        </w:rPr>
      </w:pPr>
      <w:r>
        <w:rPr>
          <w:rFonts w:cs="Arial"/>
        </w:rPr>
        <w:t>Los datos obtenidos se procesaron mediante el software STATGRAPHICS ver. 5.0. Se aplicaron análisis de varianza y los grupos homogéneos se determinaron mediante el test de rangos múltiples de Duncan para un 95% de confianza.</w:t>
      </w:r>
    </w:p>
    <w:p w:rsidR="00780F36" w:rsidRDefault="00780F36" w:rsidP="00780F36">
      <w:pPr>
        <w:pStyle w:val="Ttulo1"/>
        <w:rPr>
          <w:lang w:val="es-CU"/>
        </w:rPr>
      </w:pPr>
      <w:r>
        <w:rPr>
          <w:lang w:val="es-CU"/>
        </w:rPr>
        <w:lastRenderedPageBreak/>
        <w:t>RESULTADOS Y DISCUSIÓN</w:t>
      </w:r>
    </w:p>
    <w:p w:rsidR="00780F36" w:rsidRDefault="00780F36" w:rsidP="00780F36">
      <w:pPr>
        <w:pStyle w:val="Ttulo2"/>
        <w:rPr>
          <w:lang w:val="es-CU"/>
        </w:rPr>
      </w:pPr>
      <w:r>
        <w:rPr>
          <w:lang w:val="es-CU"/>
        </w:rPr>
        <w:t>Efecto de los bioproductos sobre la germinación</w:t>
      </w:r>
    </w:p>
    <w:p w:rsidR="00780F36" w:rsidRDefault="00780F36" w:rsidP="00780F36">
      <w:pPr>
        <w:rPr>
          <w:rFonts w:cs="Arial"/>
        </w:rPr>
      </w:pPr>
      <w:r>
        <w:rPr>
          <w:rFonts w:cs="Arial"/>
        </w:rPr>
        <w:t>En todos los casos se verificaron efectos significativos de los bioproductos sobre la germinación total de las semillas de las tres especies estudiadas (Tabla 4). Como dato importante también se constató un adelanto en el inicio de este proceso, así como una mayor homogeneidad.</w:t>
      </w:r>
    </w:p>
    <w:p w:rsidR="00780F36" w:rsidRDefault="00780F36" w:rsidP="00780F36">
      <w:pPr>
        <w:rPr>
          <w:rFonts w:cs="Arial"/>
        </w:rPr>
      </w:pPr>
      <w:r>
        <w:rPr>
          <w:rFonts w:cs="Arial"/>
        </w:rPr>
        <w:t>Tabla 4. Efecto de los bioproductos sobre la germinación de semillas de las tres especies forestales estudiadas</w:t>
      </w:r>
    </w:p>
    <w:tbl>
      <w:tblPr>
        <w:tblStyle w:val="Tablanormal2"/>
        <w:tblW w:w="5000" w:type="pct"/>
        <w:tblLook w:val="0620" w:firstRow="1" w:lastRow="0" w:firstColumn="0" w:lastColumn="0" w:noHBand="1" w:noVBand="1"/>
      </w:tblPr>
      <w:tblGrid>
        <w:gridCol w:w="2351"/>
        <w:gridCol w:w="2823"/>
        <w:gridCol w:w="1879"/>
        <w:gridCol w:w="2351"/>
      </w:tblGrid>
      <w:tr w:rsidR="00780F36" w:rsidRPr="00537287" w:rsidTr="008F1B37">
        <w:trPr>
          <w:cnfStyle w:val="100000000000" w:firstRow="1" w:lastRow="0" w:firstColumn="0" w:lastColumn="0" w:oddVBand="0" w:evenVBand="0" w:oddHBand="0" w:evenHBand="0" w:firstRowFirstColumn="0" w:firstRowLastColumn="0" w:lastRowFirstColumn="0" w:lastRowLastColumn="0"/>
        </w:trPr>
        <w:tc>
          <w:tcPr>
            <w:tcW w:w="1250" w:type="pct"/>
            <w:tcBorders>
              <w:top w:val="single" w:sz="12" w:space="0" w:color="000000"/>
              <w:bottom w:val="single" w:sz="12" w:space="0" w:color="000000"/>
            </w:tcBorders>
            <w:vAlign w:val="center"/>
          </w:tcPr>
          <w:p w:rsidR="00780F36" w:rsidRPr="00537287" w:rsidRDefault="00780F36" w:rsidP="008F1B37">
            <w:pPr>
              <w:spacing w:before="0" w:after="0"/>
              <w:jc w:val="center"/>
            </w:pPr>
            <w:r w:rsidRPr="00537287">
              <w:t>Especies</w:t>
            </w:r>
          </w:p>
        </w:tc>
        <w:tc>
          <w:tcPr>
            <w:tcW w:w="1501" w:type="pct"/>
            <w:tcBorders>
              <w:top w:val="single" w:sz="12" w:space="0" w:color="000000"/>
              <w:bottom w:val="single" w:sz="12" w:space="0" w:color="000000"/>
            </w:tcBorders>
            <w:vAlign w:val="center"/>
          </w:tcPr>
          <w:p w:rsidR="00780F36" w:rsidRPr="00537287" w:rsidRDefault="00780F36" w:rsidP="008F1B37">
            <w:pPr>
              <w:spacing w:before="0" w:after="0"/>
              <w:jc w:val="center"/>
            </w:pPr>
            <w:r w:rsidRPr="00537287">
              <w:t>Tratamientos</w:t>
            </w:r>
          </w:p>
        </w:tc>
        <w:tc>
          <w:tcPr>
            <w:tcW w:w="999" w:type="pct"/>
            <w:tcBorders>
              <w:top w:val="single" w:sz="12" w:space="0" w:color="000000"/>
              <w:bottom w:val="single" w:sz="12" w:space="0" w:color="000000"/>
            </w:tcBorders>
            <w:vAlign w:val="center"/>
          </w:tcPr>
          <w:p w:rsidR="00780F36" w:rsidRPr="00537287" w:rsidRDefault="00780F36" w:rsidP="008F1B37">
            <w:pPr>
              <w:spacing w:before="0" w:after="0"/>
              <w:jc w:val="center"/>
            </w:pPr>
            <w:r w:rsidRPr="00537287">
              <w:t>PG (%)</w:t>
            </w:r>
          </w:p>
        </w:tc>
        <w:tc>
          <w:tcPr>
            <w:tcW w:w="1250" w:type="pct"/>
            <w:tcBorders>
              <w:top w:val="single" w:sz="12" w:space="0" w:color="000000"/>
              <w:bottom w:val="single" w:sz="12" w:space="0" w:color="000000"/>
            </w:tcBorders>
            <w:vAlign w:val="center"/>
          </w:tcPr>
          <w:p w:rsidR="00780F36" w:rsidRPr="00537287" w:rsidRDefault="00780F36" w:rsidP="008F1B37">
            <w:pPr>
              <w:spacing w:before="0" w:after="0"/>
              <w:jc w:val="center"/>
            </w:pPr>
            <w:r w:rsidRPr="00537287">
              <w:t>CV</w:t>
            </w:r>
            <w:r w:rsidRPr="00537287">
              <w:rPr>
                <w:rFonts w:cs="Arial"/>
              </w:rPr>
              <w:t>±</w:t>
            </w:r>
            <w:r w:rsidRPr="00537287">
              <w:t>ES</w:t>
            </w:r>
          </w:p>
        </w:tc>
      </w:tr>
      <w:tr w:rsidR="00780F36" w:rsidTr="008F1B37">
        <w:tc>
          <w:tcPr>
            <w:tcW w:w="1250" w:type="pct"/>
            <w:vMerge w:val="restart"/>
            <w:tcBorders>
              <w:top w:val="single" w:sz="12" w:space="0" w:color="000000"/>
            </w:tcBorders>
            <w:vAlign w:val="center"/>
          </w:tcPr>
          <w:p w:rsidR="00780F36" w:rsidRPr="006561C9" w:rsidRDefault="00780F36" w:rsidP="008F1B37">
            <w:pPr>
              <w:spacing w:before="0" w:after="0"/>
              <w:jc w:val="center"/>
              <w:rPr>
                <w:i/>
              </w:rPr>
            </w:pPr>
            <w:r w:rsidRPr="006561C9">
              <w:rPr>
                <w:i/>
              </w:rPr>
              <w:t xml:space="preserve">Ch. </w:t>
            </w:r>
            <w:proofErr w:type="spellStart"/>
            <w:r w:rsidRPr="006561C9">
              <w:rPr>
                <w:i/>
              </w:rPr>
              <w:t>cainito</w:t>
            </w:r>
            <w:proofErr w:type="spellEnd"/>
          </w:p>
        </w:tc>
        <w:tc>
          <w:tcPr>
            <w:tcW w:w="1501" w:type="pct"/>
            <w:tcBorders>
              <w:top w:val="single" w:sz="12" w:space="0" w:color="000000"/>
            </w:tcBorders>
            <w:vAlign w:val="center"/>
          </w:tcPr>
          <w:p w:rsidR="00780F36" w:rsidRDefault="00780F36" w:rsidP="008F1B37">
            <w:pPr>
              <w:spacing w:before="0" w:after="0"/>
              <w:jc w:val="center"/>
            </w:pPr>
            <w:r>
              <w:t>Control absoluto</w:t>
            </w:r>
          </w:p>
        </w:tc>
        <w:tc>
          <w:tcPr>
            <w:tcW w:w="999" w:type="pct"/>
            <w:tcBorders>
              <w:top w:val="single" w:sz="12" w:space="0" w:color="000000"/>
            </w:tcBorders>
            <w:vAlign w:val="center"/>
          </w:tcPr>
          <w:p w:rsidR="00780F36" w:rsidRDefault="00780F36" w:rsidP="008F1B37">
            <w:pPr>
              <w:spacing w:before="0" w:after="0"/>
              <w:jc w:val="center"/>
            </w:pPr>
            <w:r>
              <w:t>16,6</w:t>
            </w:r>
            <w:r w:rsidRPr="006561C9">
              <w:rPr>
                <w:vertAlign w:val="superscript"/>
              </w:rPr>
              <w:t>d</w:t>
            </w:r>
          </w:p>
        </w:tc>
        <w:tc>
          <w:tcPr>
            <w:tcW w:w="1250" w:type="pct"/>
            <w:vMerge w:val="restart"/>
            <w:tcBorders>
              <w:top w:val="single" w:sz="12" w:space="0" w:color="000000"/>
            </w:tcBorders>
            <w:vAlign w:val="center"/>
          </w:tcPr>
          <w:p w:rsidR="00780F36" w:rsidRDefault="00780F36" w:rsidP="008F1B37">
            <w:pPr>
              <w:spacing w:before="0" w:after="0"/>
              <w:jc w:val="center"/>
            </w:pPr>
            <w:r>
              <w:t>11,72</w:t>
            </w:r>
            <w:r>
              <w:rPr>
                <w:rFonts w:cs="Arial"/>
              </w:rPr>
              <w:t>±</w:t>
            </w:r>
            <w:r>
              <w:t>1,58</w:t>
            </w: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 xml:space="preserve">Testigo (agua </w:t>
            </w:r>
            <w:proofErr w:type="spellStart"/>
            <w:r>
              <w:t>dest</w:t>
            </w:r>
            <w:proofErr w:type="spellEnd"/>
            <w:r>
              <w:t>.)</w:t>
            </w:r>
          </w:p>
        </w:tc>
        <w:tc>
          <w:tcPr>
            <w:tcW w:w="999" w:type="pct"/>
            <w:vAlign w:val="center"/>
          </w:tcPr>
          <w:p w:rsidR="00780F36" w:rsidRDefault="00780F36" w:rsidP="008F1B37">
            <w:pPr>
              <w:spacing w:before="0" w:after="0"/>
              <w:jc w:val="center"/>
            </w:pPr>
            <w:r>
              <w:t>23,3</w:t>
            </w:r>
            <w:r w:rsidRPr="006561C9">
              <w:rPr>
                <w:vertAlign w:val="superscript"/>
              </w:rPr>
              <w:t>c</w:t>
            </w:r>
          </w:p>
        </w:tc>
        <w:tc>
          <w:tcPr>
            <w:tcW w:w="1250" w:type="pct"/>
            <w:vMerge/>
            <w:vAlign w:val="center"/>
          </w:tcPr>
          <w:p w:rsidR="00780F36" w:rsidRDefault="00780F36" w:rsidP="008F1B37">
            <w:pPr>
              <w:spacing w:before="0" w:after="0"/>
              <w:jc w:val="center"/>
            </w:pP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FitoMas-E (3%)</w:t>
            </w:r>
          </w:p>
        </w:tc>
        <w:tc>
          <w:tcPr>
            <w:tcW w:w="999" w:type="pct"/>
            <w:vAlign w:val="center"/>
          </w:tcPr>
          <w:p w:rsidR="00780F36" w:rsidRDefault="00780F36" w:rsidP="008F1B37">
            <w:pPr>
              <w:spacing w:before="0" w:after="0"/>
              <w:jc w:val="center"/>
            </w:pPr>
            <w:r>
              <w:t>53,3</w:t>
            </w:r>
            <w:r w:rsidRPr="006561C9">
              <w:rPr>
                <w:vertAlign w:val="superscript"/>
              </w:rPr>
              <w:t>a</w:t>
            </w:r>
          </w:p>
        </w:tc>
        <w:tc>
          <w:tcPr>
            <w:tcW w:w="1250" w:type="pct"/>
            <w:vMerge/>
            <w:vAlign w:val="center"/>
          </w:tcPr>
          <w:p w:rsidR="00780F36" w:rsidRDefault="00780F36" w:rsidP="008F1B37">
            <w:pPr>
              <w:spacing w:before="0" w:after="0"/>
              <w:jc w:val="center"/>
            </w:pPr>
          </w:p>
        </w:tc>
      </w:tr>
      <w:tr w:rsidR="00780F36" w:rsidTr="008F1B37">
        <w:tc>
          <w:tcPr>
            <w:tcW w:w="1250" w:type="pct"/>
            <w:vMerge/>
            <w:tcBorders>
              <w:bottom w:val="single" w:sz="12" w:space="0" w:color="000000"/>
            </w:tcBorders>
            <w:vAlign w:val="center"/>
          </w:tcPr>
          <w:p w:rsidR="00780F36" w:rsidRDefault="00780F36" w:rsidP="008F1B37">
            <w:pPr>
              <w:spacing w:before="0" w:after="0"/>
              <w:jc w:val="center"/>
            </w:pPr>
          </w:p>
        </w:tc>
        <w:tc>
          <w:tcPr>
            <w:tcW w:w="1501" w:type="pct"/>
            <w:tcBorders>
              <w:bottom w:val="single" w:sz="12" w:space="0" w:color="000000"/>
            </w:tcBorders>
            <w:vAlign w:val="center"/>
          </w:tcPr>
          <w:p w:rsidR="00780F36" w:rsidRDefault="00780F36" w:rsidP="008F1B37">
            <w:pPr>
              <w:spacing w:before="0" w:after="0"/>
              <w:jc w:val="center"/>
            </w:pPr>
            <w:r>
              <w:t>Bayfolán (3%)</w:t>
            </w:r>
          </w:p>
        </w:tc>
        <w:tc>
          <w:tcPr>
            <w:tcW w:w="999" w:type="pct"/>
            <w:tcBorders>
              <w:bottom w:val="single" w:sz="12" w:space="0" w:color="000000"/>
            </w:tcBorders>
            <w:vAlign w:val="center"/>
          </w:tcPr>
          <w:p w:rsidR="00780F36" w:rsidRDefault="00780F36" w:rsidP="008F1B37">
            <w:pPr>
              <w:spacing w:before="0" w:after="0"/>
              <w:jc w:val="center"/>
            </w:pPr>
            <w:r>
              <w:t>46,6</w:t>
            </w:r>
            <w:r w:rsidRPr="006561C9">
              <w:rPr>
                <w:vertAlign w:val="superscript"/>
              </w:rPr>
              <w:t>b</w:t>
            </w:r>
          </w:p>
        </w:tc>
        <w:tc>
          <w:tcPr>
            <w:tcW w:w="1250" w:type="pct"/>
            <w:vMerge/>
            <w:tcBorders>
              <w:bottom w:val="single" w:sz="12" w:space="0" w:color="000000"/>
            </w:tcBorders>
            <w:vAlign w:val="center"/>
          </w:tcPr>
          <w:p w:rsidR="00780F36" w:rsidRDefault="00780F36" w:rsidP="008F1B37">
            <w:pPr>
              <w:spacing w:before="0" w:after="0"/>
              <w:jc w:val="center"/>
            </w:pPr>
          </w:p>
        </w:tc>
      </w:tr>
      <w:tr w:rsidR="00780F36" w:rsidTr="008F1B37">
        <w:tc>
          <w:tcPr>
            <w:tcW w:w="1250" w:type="pct"/>
            <w:vMerge w:val="restart"/>
            <w:tcBorders>
              <w:top w:val="single" w:sz="12" w:space="0" w:color="000000"/>
            </w:tcBorders>
            <w:vAlign w:val="center"/>
          </w:tcPr>
          <w:p w:rsidR="00780F36" w:rsidRPr="006561C9" w:rsidRDefault="00780F36" w:rsidP="008F1B37">
            <w:pPr>
              <w:spacing w:before="0" w:after="0"/>
              <w:jc w:val="center"/>
              <w:rPr>
                <w:i/>
              </w:rPr>
            </w:pPr>
            <w:r w:rsidRPr="006561C9">
              <w:rPr>
                <w:i/>
              </w:rPr>
              <w:t xml:space="preserve">C. </w:t>
            </w:r>
            <w:proofErr w:type="spellStart"/>
            <w:r w:rsidRPr="006561C9">
              <w:rPr>
                <w:i/>
              </w:rPr>
              <w:t>zeylanicum</w:t>
            </w:r>
            <w:proofErr w:type="spellEnd"/>
          </w:p>
        </w:tc>
        <w:tc>
          <w:tcPr>
            <w:tcW w:w="1501" w:type="pct"/>
            <w:tcBorders>
              <w:top w:val="single" w:sz="12" w:space="0" w:color="000000"/>
            </w:tcBorders>
            <w:vAlign w:val="center"/>
          </w:tcPr>
          <w:p w:rsidR="00780F36" w:rsidRDefault="00780F36" w:rsidP="008F1B37">
            <w:pPr>
              <w:spacing w:before="0" w:after="0"/>
              <w:jc w:val="center"/>
            </w:pPr>
            <w:r>
              <w:t>Control absoluto</w:t>
            </w:r>
          </w:p>
        </w:tc>
        <w:tc>
          <w:tcPr>
            <w:tcW w:w="999" w:type="pct"/>
            <w:tcBorders>
              <w:top w:val="single" w:sz="12" w:space="0" w:color="000000"/>
            </w:tcBorders>
            <w:vAlign w:val="center"/>
          </w:tcPr>
          <w:p w:rsidR="00780F36" w:rsidRDefault="00780F36" w:rsidP="008F1B37">
            <w:pPr>
              <w:spacing w:before="0" w:after="0"/>
              <w:jc w:val="center"/>
            </w:pPr>
            <w:r>
              <w:t>28</w:t>
            </w:r>
            <w:r w:rsidRPr="006561C9">
              <w:rPr>
                <w:vertAlign w:val="superscript"/>
              </w:rPr>
              <w:t>d</w:t>
            </w:r>
          </w:p>
        </w:tc>
        <w:tc>
          <w:tcPr>
            <w:tcW w:w="1250" w:type="pct"/>
            <w:vMerge w:val="restart"/>
            <w:tcBorders>
              <w:top w:val="single" w:sz="12" w:space="0" w:color="000000"/>
            </w:tcBorders>
            <w:vAlign w:val="center"/>
          </w:tcPr>
          <w:p w:rsidR="00780F36" w:rsidRDefault="00780F36" w:rsidP="008F1B37">
            <w:pPr>
              <w:spacing w:before="0" w:after="0"/>
              <w:jc w:val="center"/>
            </w:pPr>
            <w:r>
              <w:t>17,28</w:t>
            </w:r>
            <w:r>
              <w:rPr>
                <w:rFonts w:cs="Arial"/>
              </w:rPr>
              <w:t>±</w:t>
            </w:r>
            <w:r>
              <w:t>1,72</w:t>
            </w: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 xml:space="preserve">Testigo (agua </w:t>
            </w:r>
            <w:proofErr w:type="spellStart"/>
            <w:r>
              <w:t>dest</w:t>
            </w:r>
            <w:proofErr w:type="spellEnd"/>
            <w:r>
              <w:t>.)</w:t>
            </w:r>
          </w:p>
        </w:tc>
        <w:tc>
          <w:tcPr>
            <w:tcW w:w="999" w:type="pct"/>
            <w:vAlign w:val="center"/>
          </w:tcPr>
          <w:p w:rsidR="00780F36" w:rsidRDefault="00780F36" w:rsidP="008F1B37">
            <w:pPr>
              <w:spacing w:before="0" w:after="0"/>
              <w:jc w:val="center"/>
            </w:pPr>
            <w:r>
              <w:t>36</w:t>
            </w:r>
            <w:r w:rsidRPr="006561C9">
              <w:rPr>
                <w:vertAlign w:val="superscript"/>
              </w:rPr>
              <w:t>c</w:t>
            </w:r>
          </w:p>
        </w:tc>
        <w:tc>
          <w:tcPr>
            <w:tcW w:w="1250" w:type="pct"/>
            <w:vMerge/>
            <w:vAlign w:val="center"/>
          </w:tcPr>
          <w:p w:rsidR="00780F36" w:rsidRDefault="00780F36" w:rsidP="008F1B37">
            <w:pPr>
              <w:spacing w:before="0" w:after="0"/>
              <w:jc w:val="center"/>
            </w:pP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FitoMas-E (1%)</w:t>
            </w:r>
          </w:p>
        </w:tc>
        <w:tc>
          <w:tcPr>
            <w:tcW w:w="999" w:type="pct"/>
            <w:vAlign w:val="center"/>
          </w:tcPr>
          <w:p w:rsidR="00780F36" w:rsidRDefault="00780F36" w:rsidP="008F1B37">
            <w:pPr>
              <w:spacing w:before="0" w:after="0"/>
              <w:jc w:val="center"/>
            </w:pPr>
            <w:r>
              <w:t>52</w:t>
            </w:r>
            <w:r w:rsidRPr="006561C9">
              <w:rPr>
                <w:vertAlign w:val="superscript"/>
              </w:rPr>
              <w:t>a</w:t>
            </w:r>
          </w:p>
        </w:tc>
        <w:tc>
          <w:tcPr>
            <w:tcW w:w="1250" w:type="pct"/>
            <w:vMerge/>
            <w:vAlign w:val="center"/>
          </w:tcPr>
          <w:p w:rsidR="00780F36" w:rsidRDefault="00780F36" w:rsidP="008F1B37">
            <w:pPr>
              <w:spacing w:before="0" w:after="0"/>
              <w:jc w:val="center"/>
            </w:pPr>
          </w:p>
        </w:tc>
      </w:tr>
      <w:tr w:rsidR="00780F36" w:rsidTr="008F1B37">
        <w:tc>
          <w:tcPr>
            <w:tcW w:w="1250" w:type="pct"/>
            <w:vMerge/>
            <w:tcBorders>
              <w:bottom w:val="single" w:sz="12" w:space="0" w:color="000000"/>
            </w:tcBorders>
            <w:vAlign w:val="center"/>
          </w:tcPr>
          <w:p w:rsidR="00780F36" w:rsidRDefault="00780F36" w:rsidP="008F1B37">
            <w:pPr>
              <w:spacing w:before="0" w:after="0"/>
              <w:jc w:val="center"/>
            </w:pPr>
          </w:p>
        </w:tc>
        <w:tc>
          <w:tcPr>
            <w:tcW w:w="1501" w:type="pct"/>
            <w:tcBorders>
              <w:bottom w:val="single" w:sz="12" w:space="0" w:color="000000"/>
            </w:tcBorders>
            <w:vAlign w:val="center"/>
          </w:tcPr>
          <w:p w:rsidR="00780F36" w:rsidRDefault="00780F36" w:rsidP="008F1B37">
            <w:pPr>
              <w:spacing w:before="0" w:after="0"/>
              <w:jc w:val="center"/>
            </w:pPr>
            <w:r>
              <w:t>FitoMas-E (2%)</w:t>
            </w:r>
          </w:p>
        </w:tc>
        <w:tc>
          <w:tcPr>
            <w:tcW w:w="999" w:type="pct"/>
            <w:tcBorders>
              <w:bottom w:val="single" w:sz="12" w:space="0" w:color="000000"/>
            </w:tcBorders>
            <w:vAlign w:val="center"/>
          </w:tcPr>
          <w:p w:rsidR="00780F36" w:rsidRDefault="00780F36" w:rsidP="008F1B37">
            <w:pPr>
              <w:spacing w:before="0" w:after="0"/>
              <w:jc w:val="center"/>
            </w:pPr>
            <w:r>
              <w:t>44</w:t>
            </w:r>
            <w:r w:rsidRPr="006561C9">
              <w:rPr>
                <w:vertAlign w:val="superscript"/>
              </w:rPr>
              <w:t>b</w:t>
            </w:r>
          </w:p>
        </w:tc>
        <w:tc>
          <w:tcPr>
            <w:tcW w:w="1250" w:type="pct"/>
            <w:vMerge/>
            <w:tcBorders>
              <w:bottom w:val="single" w:sz="12" w:space="0" w:color="000000"/>
            </w:tcBorders>
            <w:vAlign w:val="center"/>
          </w:tcPr>
          <w:p w:rsidR="00780F36" w:rsidRDefault="00780F36" w:rsidP="008F1B37">
            <w:pPr>
              <w:spacing w:before="0" w:after="0"/>
              <w:jc w:val="center"/>
            </w:pPr>
          </w:p>
        </w:tc>
      </w:tr>
      <w:tr w:rsidR="00780F36" w:rsidTr="008F1B37">
        <w:tc>
          <w:tcPr>
            <w:tcW w:w="1250" w:type="pct"/>
            <w:vMerge w:val="restart"/>
            <w:tcBorders>
              <w:top w:val="single" w:sz="12" w:space="0" w:color="000000"/>
            </w:tcBorders>
            <w:vAlign w:val="center"/>
          </w:tcPr>
          <w:p w:rsidR="00780F36" w:rsidRPr="006561C9" w:rsidRDefault="00780F36" w:rsidP="008F1B37">
            <w:pPr>
              <w:spacing w:before="0" w:after="0"/>
              <w:jc w:val="center"/>
              <w:rPr>
                <w:i/>
              </w:rPr>
            </w:pPr>
            <w:r w:rsidRPr="006561C9">
              <w:rPr>
                <w:i/>
              </w:rPr>
              <w:t>S. mahagoni</w:t>
            </w:r>
          </w:p>
        </w:tc>
        <w:tc>
          <w:tcPr>
            <w:tcW w:w="1501" w:type="pct"/>
            <w:tcBorders>
              <w:top w:val="single" w:sz="12" w:space="0" w:color="000000"/>
            </w:tcBorders>
            <w:vAlign w:val="center"/>
          </w:tcPr>
          <w:p w:rsidR="00780F36" w:rsidRDefault="00780F36" w:rsidP="008F1B37">
            <w:pPr>
              <w:spacing w:before="0" w:after="0"/>
              <w:jc w:val="center"/>
            </w:pPr>
            <w:r>
              <w:t xml:space="preserve">Testigo (agua </w:t>
            </w:r>
            <w:proofErr w:type="spellStart"/>
            <w:r>
              <w:t>dest</w:t>
            </w:r>
            <w:proofErr w:type="spellEnd"/>
            <w:r>
              <w:t>.)</w:t>
            </w:r>
          </w:p>
        </w:tc>
        <w:tc>
          <w:tcPr>
            <w:tcW w:w="999" w:type="pct"/>
            <w:tcBorders>
              <w:top w:val="single" w:sz="12" w:space="0" w:color="000000"/>
            </w:tcBorders>
            <w:vAlign w:val="center"/>
          </w:tcPr>
          <w:p w:rsidR="00780F36" w:rsidRDefault="00780F36" w:rsidP="008F1B37">
            <w:pPr>
              <w:spacing w:before="0" w:after="0"/>
              <w:jc w:val="center"/>
            </w:pPr>
            <w:r>
              <w:t>88,75</w:t>
            </w:r>
            <w:r w:rsidRPr="006561C9">
              <w:rPr>
                <w:vertAlign w:val="superscript"/>
              </w:rPr>
              <w:t>b</w:t>
            </w:r>
          </w:p>
        </w:tc>
        <w:tc>
          <w:tcPr>
            <w:tcW w:w="1250" w:type="pct"/>
            <w:vMerge w:val="restart"/>
            <w:tcBorders>
              <w:top w:val="single" w:sz="12" w:space="0" w:color="000000"/>
            </w:tcBorders>
            <w:vAlign w:val="center"/>
          </w:tcPr>
          <w:p w:rsidR="00780F36" w:rsidRDefault="00780F36" w:rsidP="008F1B37">
            <w:pPr>
              <w:spacing w:before="0" w:after="0"/>
              <w:jc w:val="center"/>
            </w:pPr>
            <w:r w:rsidRPr="006561C9">
              <w:t>10,70±1,64</w:t>
            </w: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FitoMas-E (0,5%)</w:t>
            </w:r>
          </w:p>
        </w:tc>
        <w:tc>
          <w:tcPr>
            <w:tcW w:w="999" w:type="pct"/>
            <w:vAlign w:val="center"/>
          </w:tcPr>
          <w:p w:rsidR="00780F36" w:rsidRDefault="00780F36" w:rsidP="008F1B37">
            <w:pPr>
              <w:spacing w:before="0" w:after="0"/>
              <w:jc w:val="center"/>
            </w:pPr>
            <w:r>
              <w:t>88,75</w:t>
            </w:r>
            <w:r w:rsidRPr="006561C9">
              <w:rPr>
                <w:vertAlign w:val="superscript"/>
              </w:rPr>
              <w:t>b</w:t>
            </w:r>
          </w:p>
        </w:tc>
        <w:tc>
          <w:tcPr>
            <w:tcW w:w="1250" w:type="pct"/>
            <w:vMerge/>
            <w:vAlign w:val="center"/>
          </w:tcPr>
          <w:p w:rsidR="00780F36" w:rsidRDefault="00780F36" w:rsidP="008F1B37">
            <w:pPr>
              <w:spacing w:before="0" w:after="0"/>
              <w:jc w:val="center"/>
            </w:pP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EM (10%)</w:t>
            </w:r>
          </w:p>
        </w:tc>
        <w:tc>
          <w:tcPr>
            <w:tcW w:w="999" w:type="pct"/>
            <w:vAlign w:val="center"/>
          </w:tcPr>
          <w:p w:rsidR="00780F36" w:rsidRDefault="00780F36" w:rsidP="008F1B37">
            <w:pPr>
              <w:spacing w:before="0" w:after="0"/>
              <w:jc w:val="center"/>
            </w:pPr>
            <w:r>
              <w:t>92,25</w:t>
            </w:r>
            <w:r w:rsidRPr="006561C9">
              <w:rPr>
                <w:vertAlign w:val="superscript"/>
              </w:rPr>
              <w:t>a</w:t>
            </w:r>
          </w:p>
        </w:tc>
        <w:tc>
          <w:tcPr>
            <w:tcW w:w="1250" w:type="pct"/>
            <w:vMerge/>
            <w:vAlign w:val="center"/>
          </w:tcPr>
          <w:p w:rsidR="00780F36" w:rsidRDefault="00780F36" w:rsidP="008F1B37">
            <w:pPr>
              <w:spacing w:before="0" w:after="0"/>
              <w:jc w:val="center"/>
            </w:pPr>
          </w:p>
        </w:tc>
      </w:tr>
      <w:tr w:rsidR="00780F36" w:rsidTr="008F1B37">
        <w:tc>
          <w:tcPr>
            <w:tcW w:w="1250" w:type="pct"/>
            <w:vMerge/>
            <w:vAlign w:val="center"/>
          </w:tcPr>
          <w:p w:rsidR="00780F36" w:rsidRDefault="00780F36" w:rsidP="008F1B37">
            <w:pPr>
              <w:spacing w:before="0" w:after="0"/>
              <w:jc w:val="center"/>
            </w:pPr>
          </w:p>
        </w:tc>
        <w:tc>
          <w:tcPr>
            <w:tcW w:w="1501" w:type="pct"/>
            <w:vAlign w:val="center"/>
          </w:tcPr>
          <w:p w:rsidR="00780F36" w:rsidRDefault="00780F36" w:rsidP="008F1B37">
            <w:pPr>
              <w:spacing w:before="0" w:after="0"/>
              <w:jc w:val="center"/>
            </w:pPr>
            <w:r>
              <w:t>VIUSID Agro (0,25%)</w:t>
            </w:r>
          </w:p>
        </w:tc>
        <w:tc>
          <w:tcPr>
            <w:tcW w:w="999" w:type="pct"/>
            <w:vAlign w:val="center"/>
          </w:tcPr>
          <w:p w:rsidR="00780F36" w:rsidRDefault="00780F36" w:rsidP="008F1B37">
            <w:pPr>
              <w:spacing w:before="0" w:after="0"/>
              <w:jc w:val="center"/>
            </w:pPr>
            <w:r>
              <w:t>74,37</w:t>
            </w:r>
            <w:r w:rsidRPr="006561C9">
              <w:rPr>
                <w:vertAlign w:val="superscript"/>
              </w:rPr>
              <w:t>c</w:t>
            </w:r>
          </w:p>
        </w:tc>
        <w:tc>
          <w:tcPr>
            <w:tcW w:w="1250" w:type="pct"/>
            <w:vMerge/>
            <w:vAlign w:val="center"/>
          </w:tcPr>
          <w:p w:rsidR="00780F36" w:rsidRDefault="00780F36" w:rsidP="008F1B37">
            <w:pPr>
              <w:spacing w:before="0" w:after="0"/>
              <w:jc w:val="center"/>
            </w:pPr>
          </w:p>
        </w:tc>
      </w:tr>
    </w:tbl>
    <w:p w:rsidR="008F1B37" w:rsidRPr="008F1B37" w:rsidRDefault="008F1B37" w:rsidP="00780F36">
      <w:pPr>
        <w:jc w:val="center"/>
        <w:rPr>
          <w:sz w:val="20"/>
          <w:szCs w:val="20"/>
        </w:rPr>
      </w:pPr>
      <w:r w:rsidRPr="008F1B37">
        <w:rPr>
          <w:rFonts w:cs="Arial"/>
          <w:sz w:val="20"/>
          <w:szCs w:val="20"/>
        </w:rPr>
        <w:t xml:space="preserve">Letras </w:t>
      </w:r>
      <w:r w:rsidR="001C4CB0">
        <w:rPr>
          <w:rFonts w:cs="Arial"/>
          <w:sz w:val="20"/>
          <w:szCs w:val="20"/>
        </w:rPr>
        <w:t>desiguales</w:t>
      </w:r>
      <w:r w:rsidRPr="008F1B37">
        <w:rPr>
          <w:rFonts w:cs="Arial"/>
          <w:sz w:val="20"/>
          <w:szCs w:val="20"/>
        </w:rPr>
        <w:t xml:space="preserve"> en la misma columna</w:t>
      </w:r>
      <w:r w:rsidR="00E92B74">
        <w:rPr>
          <w:rFonts w:cs="Arial"/>
          <w:sz w:val="20"/>
          <w:szCs w:val="20"/>
        </w:rPr>
        <w:t xml:space="preserve"> y para la misma especie</w:t>
      </w:r>
      <w:r w:rsidRPr="008F1B37">
        <w:rPr>
          <w:rFonts w:cs="Arial"/>
          <w:sz w:val="20"/>
          <w:szCs w:val="20"/>
        </w:rPr>
        <w:t xml:space="preserve"> indican diferencias significativas </w:t>
      </w:r>
      <w:r w:rsidRPr="008F1B37">
        <w:rPr>
          <w:sz w:val="20"/>
          <w:szCs w:val="20"/>
        </w:rPr>
        <w:t>según Duncan (p</w:t>
      </w:r>
      <w:r w:rsidRPr="008F1B37">
        <w:rPr>
          <w:rFonts w:cs="Arial"/>
          <w:sz w:val="20"/>
          <w:szCs w:val="20"/>
        </w:rPr>
        <w:t>&lt;</w:t>
      </w:r>
      <w:r w:rsidRPr="008F1B37">
        <w:rPr>
          <w:sz w:val="20"/>
          <w:szCs w:val="20"/>
        </w:rPr>
        <w:t>0,05)</w:t>
      </w:r>
    </w:p>
    <w:p w:rsidR="00780F36" w:rsidRPr="00780F36" w:rsidRDefault="00780F36" w:rsidP="00780F36">
      <w:pPr>
        <w:jc w:val="center"/>
        <w:rPr>
          <w:rFonts w:cs="Arial"/>
          <w:sz w:val="22"/>
          <w:szCs w:val="22"/>
        </w:rPr>
      </w:pPr>
      <w:r w:rsidRPr="00780F36">
        <w:rPr>
          <w:rFonts w:cs="Arial"/>
          <w:sz w:val="22"/>
          <w:szCs w:val="22"/>
        </w:rPr>
        <w:t>Fuente: elaboración propia</w:t>
      </w:r>
    </w:p>
    <w:p w:rsidR="00334373" w:rsidRDefault="00780F36" w:rsidP="00780F36">
      <w:r>
        <w:t xml:space="preserve">En </w:t>
      </w:r>
      <w:r w:rsidR="004F212A">
        <w:t>todos los casos el efecto de los bioproductos no solamente se manifestó en un</w:t>
      </w:r>
      <w:r w:rsidR="00334373">
        <w:t xml:space="preserve"> incremento en el PG, </w:t>
      </w:r>
      <w:r w:rsidR="004F212A">
        <w:t>sino que también</w:t>
      </w:r>
      <w:r w:rsidR="00334373">
        <w:t xml:space="preserve"> se observó un adelanto de la germinación que se comportó de la siguiente manera:</w:t>
      </w:r>
    </w:p>
    <w:p w:rsidR="00E92B74" w:rsidRDefault="00E92B74" w:rsidP="00780F36"/>
    <w:p w:rsidR="00E92B74" w:rsidRDefault="00E92B74" w:rsidP="00780F36"/>
    <w:p w:rsidR="004F212A" w:rsidRDefault="004F212A" w:rsidP="00780F36">
      <w:r>
        <w:lastRenderedPageBreak/>
        <w:t xml:space="preserve">En </w:t>
      </w:r>
      <w:r w:rsidRPr="004F212A">
        <w:rPr>
          <w:i/>
        </w:rPr>
        <w:t xml:space="preserve">Ch. </w:t>
      </w:r>
      <w:proofErr w:type="spellStart"/>
      <w:r w:rsidRPr="004F212A">
        <w:rPr>
          <w:i/>
        </w:rPr>
        <w:t>cainito</w:t>
      </w:r>
      <w:proofErr w:type="spellEnd"/>
      <w:r>
        <w:t>:</w:t>
      </w:r>
    </w:p>
    <w:p w:rsidR="00334373" w:rsidRDefault="00334373" w:rsidP="00780F36">
      <w:r>
        <w:t>- Con FitoMas-E:</w:t>
      </w:r>
      <w:r w:rsidR="00780F36">
        <w:t xml:space="preserve"> 15 días </w:t>
      </w:r>
      <w:r>
        <w:t>respecto a</w:t>
      </w:r>
      <w:r w:rsidR="00780F36">
        <w:t xml:space="preserve">l testigo y </w:t>
      </w:r>
      <w:r w:rsidR="00B0550D">
        <w:t>19 días</w:t>
      </w:r>
      <w:r w:rsidR="00780F36">
        <w:t xml:space="preserve"> </w:t>
      </w:r>
      <w:r>
        <w:t>respecto al</w:t>
      </w:r>
      <w:r w:rsidR="00780F36">
        <w:t xml:space="preserve"> control absoluto.</w:t>
      </w:r>
    </w:p>
    <w:p w:rsidR="00334373" w:rsidRDefault="00334373" w:rsidP="00780F36">
      <w:r>
        <w:t>- Con</w:t>
      </w:r>
      <w:r w:rsidR="00780F36">
        <w:t xml:space="preserve"> Bayfolán</w:t>
      </w:r>
      <w:r>
        <w:t xml:space="preserve">: </w:t>
      </w:r>
      <w:r w:rsidR="00E92B74">
        <w:t>15 días respecto al testigo y 17 días respecto al control absoluto.</w:t>
      </w:r>
    </w:p>
    <w:p w:rsidR="00780F36" w:rsidRDefault="004F212A" w:rsidP="00780F36">
      <w:r>
        <w:t>En</w:t>
      </w:r>
      <w:r w:rsidR="00334373">
        <w:t xml:space="preserve"> </w:t>
      </w:r>
      <w:r w:rsidR="00334373" w:rsidRPr="00334373">
        <w:rPr>
          <w:i/>
        </w:rPr>
        <w:t xml:space="preserve">C. </w:t>
      </w:r>
      <w:proofErr w:type="spellStart"/>
      <w:r w:rsidR="00334373" w:rsidRPr="00334373">
        <w:rPr>
          <w:i/>
        </w:rPr>
        <w:t>zeylanicum</w:t>
      </w:r>
      <w:proofErr w:type="spellEnd"/>
      <w:r>
        <w:t>:</w:t>
      </w:r>
      <w:r w:rsidR="00334373">
        <w:t xml:space="preserve"> </w:t>
      </w:r>
      <w:r>
        <w:t>9 días respecto al testigo y 12 días respecto al control absoluto.</w:t>
      </w:r>
      <w:r w:rsidR="00780F36">
        <w:t xml:space="preserve"> </w:t>
      </w:r>
    </w:p>
    <w:p w:rsidR="00334373" w:rsidRDefault="004F212A" w:rsidP="00780F36">
      <w:r>
        <w:t>E</w:t>
      </w:r>
      <w:r w:rsidR="00334373">
        <w:t xml:space="preserve">n </w:t>
      </w:r>
      <w:r w:rsidR="00334373" w:rsidRPr="00334373">
        <w:rPr>
          <w:i/>
        </w:rPr>
        <w:t>S. mahagoni</w:t>
      </w:r>
      <w:r>
        <w:t>:</w:t>
      </w:r>
      <w:r w:rsidR="00334373">
        <w:t xml:space="preserve"> solo los EM produjeron este efecto, </w:t>
      </w:r>
      <w:r>
        <w:t>al adelantar la germinación 7 días respecto al testigo.</w:t>
      </w:r>
    </w:p>
    <w:p w:rsidR="00334373" w:rsidRDefault="00334373" w:rsidP="00780F36">
      <w:r>
        <w:t>Est</w:t>
      </w:r>
      <w:r w:rsidR="00833A08">
        <w:t>e</w:t>
      </w:r>
      <w:r>
        <w:t xml:space="preserve"> </w:t>
      </w:r>
      <w:r w:rsidR="00833A08">
        <w:t>comportamiento</w:t>
      </w:r>
      <w:r>
        <w:t xml:space="preserve"> sugiere la presencia de algún tipo de latencia en las semillas de las especies en estudio; relacionada con sus características morfológicas</w:t>
      </w:r>
      <w:r w:rsidR="00A17386">
        <w:t>. En</w:t>
      </w:r>
      <w:r>
        <w:t xml:space="preserve"> </w:t>
      </w:r>
      <w:r w:rsidRPr="00334373">
        <w:rPr>
          <w:i/>
        </w:rPr>
        <w:t xml:space="preserve">Ch. </w:t>
      </w:r>
      <w:proofErr w:type="spellStart"/>
      <w:r w:rsidRPr="00334373">
        <w:rPr>
          <w:i/>
        </w:rPr>
        <w:t>cainito</w:t>
      </w:r>
      <w:proofErr w:type="spellEnd"/>
      <w:r>
        <w:t xml:space="preserve"> y </w:t>
      </w:r>
      <w:r w:rsidRPr="00334373">
        <w:rPr>
          <w:i/>
        </w:rPr>
        <w:t xml:space="preserve">C. </w:t>
      </w:r>
      <w:proofErr w:type="spellStart"/>
      <w:r w:rsidRPr="00334373">
        <w:rPr>
          <w:i/>
        </w:rPr>
        <w:t>zeylanicum</w:t>
      </w:r>
      <w:proofErr w:type="spellEnd"/>
      <w:r>
        <w:t xml:space="preserve"> </w:t>
      </w:r>
      <w:r w:rsidR="00A17386">
        <w:t>han sido referidas latencias física y química</w:t>
      </w:r>
      <w:r w:rsidR="00833A08">
        <w:t xml:space="preserve">; la primera debido a las características de la testa (poco permeable) y la segunda debido a la composición de la pulpa alrededor de las semillas. </w:t>
      </w:r>
    </w:p>
    <w:p w:rsidR="00A17386" w:rsidRDefault="00A17386" w:rsidP="00A17386">
      <w:r>
        <w:t xml:space="preserve">Los resultados indican que, </w:t>
      </w:r>
      <w:r w:rsidR="00833A08">
        <w:t>las</w:t>
      </w:r>
      <w:r>
        <w:t xml:space="preserve"> sustancias minerales y bioquímicas de alta energía</w:t>
      </w:r>
      <w:r w:rsidR="00833A08">
        <w:t xml:space="preserve"> presentes en los bioproductos</w:t>
      </w:r>
      <w:r>
        <w:t>, pud</w:t>
      </w:r>
      <w:r w:rsidR="00833A08">
        <w:t>ier</w:t>
      </w:r>
      <w:r>
        <w:t>o</w:t>
      </w:r>
      <w:r w:rsidR="00833A08">
        <w:t>n</w:t>
      </w:r>
      <w:r>
        <w:t xml:space="preserve"> penetrar con facilidad hacia el interior de las semillas y potenciar el proceso de germinación, </w:t>
      </w:r>
      <w:r w:rsidR="00833A08">
        <w:t>que se manifestó no solamente en incrementos significativos, sino además en un adelanto del inicio de la misma, a partir de lo cual</w:t>
      </w:r>
      <w:r>
        <w:t>, se infiere que esta</w:t>
      </w:r>
      <w:r w:rsidR="00833A08">
        <w:t>s</w:t>
      </w:r>
      <w:r>
        <w:t xml:space="preserve"> sustancia</w:t>
      </w:r>
      <w:r w:rsidR="00833A08">
        <w:t>s</w:t>
      </w:r>
      <w:r>
        <w:t xml:space="preserve"> </w:t>
      </w:r>
      <w:r w:rsidR="00833A08">
        <w:t xml:space="preserve">actuaron </w:t>
      </w:r>
      <w:r>
        <w:t>de dos maneras fundamentales: eliminando sustancias inhibidoras de la germinación; modificando la permeabilidad de la testa o ambas inclusive.</w:t>
      </w:r>
    </w:p>
    <w:p w:rsidR="00833A08" w:rsidRDefault="00833A08" w:rsidP="00A17386">
      <w:r>
        <w:t xml:space="preserve">En el caso de </w:t>
      </w:r>
      <w:r w:rsidRPr="004F212A">
        <w:rPr>
          <w:i/>
        </w:rPr>
        <w:t>S. mahagoni</w:t>
      </w:r>
      <w:r>
        <w:t xml:space="preserve">, </w:t>
      </w:r>
      <w:r w:rsidR="004F212A">
        <w:t xml:space="preserve">algunos autores atribuyen latencia fisiológica a sus semillas, sin embargo, esto no está suficientemente documentado. En realidad, la mayor dificultad que se constata en esta especie es la pérdida de la viabilidad de sus semillas pasados 6 meses </w:t>
      </w:r>
      <w:r w:rsidR="001C4CB0">
        <w:t xml:space="preserve">a partir del momento </w:t>
      </w:r>
      <w:r w:rsidR="004F212A">
        <w:t xml:space="preserve">de cosecha, no obstante, </w:t>
      </w:r>
      <w:r w:rsidR="000B2026">
        <w:t>la posibilidad de adelantar y homogenizar la germinación con el uso de bioproductos es un resultado muy importante.</w:t>
      </w:r>
    </w:p>
    <w:p w:rsidR="000B2026" w:rsidRDefault="000B2026" w:rsidP="000B2026">
      <w:r>
        <w:t xml:space="preserve">Resultados similares en cuanto al incremento de la germinación total de especies leñosas mediante el uso de bioproductos han sido publicados por </w:t>
      </w:r>
      <w:r w:rsidRPr="000A1777">
        <w:t xml:space="preserve">Yánez </w:t>
      </w:r>
      <w:r w:rsidRPr="000A1777">
        <w:rPr>
          <w:i/>
        </w:rPr>
        <w:t>et al</w:t>
      </w:r>
      <w:r w:rsidRPr="000A1777">
        <w:t>., (2016</w:t>
      </w:r>
      <w:r>
        <w:t xml:space="preserve">) en </w:t>
      </w:r>
      <w:proofErr w:type="spellStart"/>
      <w:r w:rsidRPr="000B2026">
        <w:rPr>
          <w:i/>
        </w:rPr>
        <w:t>Artocarpus</w:t>
      </w:r>
      <w:proofErr w:type="spellEnd"/>
      <w:r w:rsidRPr="000B2026">
        <w:rPr>
          <w:i/>
        </w:rPr>
        <w:t xml:space="preserve"> </w:t>
      </w:r>
      <w:proofErr w:type="spellStart"/>
      <w:r w:rsidRPr="000B2026">
        <w:rPr>
          <w:i/>
        </w:rPr>
        <w:t>altilis</w:t>
      </w:r>
      <w:proofErr w:type="spellEnd"/>
      <w:r>
        <w:t xml:space="preserve"> y </w:t>
      </w:r>
      <w:proofErr w:type="spellStart"/>
      <w:r w:rsidRPr="000B2026">
        <w:rPr>
          <w:i/>
        </w:rPr>
        <w:t>Theobroma</w:t>
      </w:r>
      <w:proofErr w:type="spellEnd"/>
      <w:r w:rsidRPr="000B2026">
        <w:rPr>
          <w:i/>
        </w:rPr>
        <w:t xml:space="preserve"> cacao</w:t>
      </w:r>
      <w:r>
        <w:t xml:space="preserve">, </w:t>
      </w:r>
      <w:proofErr w:type="spellStart"/>
      <w:r w:rsidR="00D948E3" w:rsidRPr="000A1777">
        <w:t>Ferrás</w:t>
      </w:r>
      <w:proofErr w:type="spellEnd"/>
      <w:r w:rsidR="00D948E3" w:rsidRPr="000A1777">
        <w:t xml:space="preserve"> </w:t>
      </w:r>
      <w:r w:rsidR="00D948E3" w:rsidRPr="000A1777">
        <w:rPr>
          <w:i/>
        </w:rPr>
        <w:t>et al</w:t>
      </w:r>
      <w:r w:rsidR="00D948E3" w:rsidRPr="000A1777">
        <w:t>., (2020</w:t>
      </w:r>
      <w:r w:rsidR="00D948E3">
        <w:t xml:space="preserve">) en </w:t>
      </w:r>
      <w:proofErr w:type="spellStart"/>
      <w:r w:rsidR="00D948E3" w:rsidRPr="00D948E3">
        <w:rPr>
          <w:i/>
        </w:rPr>
        <w:t>Coffea</w:t>
      </w:r>
      <w:proofErr w:type="spellEnd"/>
      <w:r w:rsidR="00D948E3" w:rsidRPr="00D948E3">
        <w:rPr>
          <w:i/>
        </w:rPr>
        <w:t xml:space="preserve"> </w:t>
      </w:r>
      <w:proofErr w:type="spellStart"/>
      <w:r w:rsidR="00D948E3" w:rsidRPr="00D948E3">
        <w:rPr>
          <w:i/>
        </w:rPr>
        <w:t>arabica</w:t>
      </w:r>
      <w:proofErr w:type="spellEnd"/>
      <w:r w:rsidR="00D948E3">
        <w:t xml:space="preserve"> L. </w:t>
      </w:r>
    </w:p>
    <w:p w:rsidR="00780F36" w:rsidRDefault="00780F36" w:rsidP="00780F36">
      <w:pPr>
        <w:pStyle w:val="Ttulo2"/>
      </w:pPr>
      <w:r>
        <w:lastRenderedPageBreak/>
        <w:t>Efecto de los bioproductos sobre la calidad de plantas en vivero</w:t>
      </w:r>
    </w:p>
    <w:p w:rsidR="00780F36" w:rsidRDefault="00780F36" w:rsidP="00780F36">
      <w:r>
        <w:t>La aplicación foliar de los bioproductos incrementó la calidad de plantas en vivero</w:t>
      </w:r>
      <w:r w:rsidR="00D948E3">
        <w:t xml:space="preserve"> de manera integral</w:t>
      </w:r>
      <w:r>
        <w:t>, con un efecto significativo tanto en los atributos (Tabla 5), como en los índices morfológicos (Tabla 6). Con valores a los 120 días que clasifican en los rangos de calidad media a alta, lo que permite afirmar que los bioproductos favorecen una reducción en el tiempo de permanencia de las plantas en estas condiciones.</w:t>
      </w:r>
    </w:p>
    <w:p w:rsidR="00780F36" w:rsidRDefault="00780F36" w:rsidP="00780F36">
      <w:r>
        <w:t>Tabla 5. Efecto de los bioproductos sobre los atributos morfológicos de plantas de las especies forestales en estudio</w:t>
      </w:r>
    </w:p>
    <w:tbl>
      <w:tblPr>
        <w:tblStyle w:val="Tablanormal2"/>
        <w:tblW w:w="5000" w:type="pct"/>
        <w:tblLook w:val="0620" w:firstRow="1" w:lastRow="0" w:firstColumn="0" w:lastColumn="0" w:noHBand="1" w:noVBand="1"/>
      </w:tblPr>
      <w:tblGrid>
        <w:gridCol w:w="1568"/>
        <w:gridCol w:w="1713"/>
        <w:gridCol w:w="1420"/>
        <w:gridCol w:w="1569"/>
        <w:gridCol w:w="1569"/>
        <w:gridCol w:w="1565"/>
      </w:tblGrid>
      <w:tr w:rsidR="00780F36" w:rsidRPr="00853D98" w:rsidTr="00780F36">
        <w:trPr>
          <w:cnfStyle w:val="100000000000" w:firstRow="1" w:lastRow="0" w:firstColumn="0" w:lastColumn="0" w:oddVBand="0" w:evenVBand="0" w:oddHBand="0" w:evenHBand="0" w:firstRowFirstColumn="0" w:firstRowLastColumn="0" w:lastRowFirstColumn="0" w:lastRowLastColumn="0"/>
        </w:trPr>
        <w:tc>
          <w:tcPr>
            <w:tcW w:w="834"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r w:rsidRPr="00853D98">
              <w:rPr>
                <w:rFonts w:cs="Arial"/>
              </w:rPr>
              <w:t>Especie</w:t>
            </w:r>
          </w:p>
        </w:tc>
        <w:tc>
          <w:tcPr>
            <w:tcW w:w="911"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proofErr w:type="spellStart"/>
            <w:r w:rsidRPr="00853D98">
              <w:rPr>
                <w:rFonts w:cs="Arial"/>
              </w:rPr>
              <w:t>Tratam</w:t>
            </w:r>
            <w:proofErr w:type="spellEnd"/>
            <w:r w:rsidRPr="00853D98">
              <w:rPr>
                <w:rFonts w:cs="Arial"/>
              </w:rPr>
              <w:t>.</w:t>
            </w:r>
          </w:p>
        </w:tc>
        <w:tc>
          <w:tcPr>
            <w:tcW w:w="755"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r w:rsidRPr="00853D98">
              <w:rPr>
                <w:rFonts w:cs="Arial"/>
              </w:rPr>
              <w:t>H (cm)</w:t>
            </w:r>
          </w:p>
        </w:tc>
        <w:tc>
          <w:tcPr>
            <w:tcW w:w="834"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r w:rsidRPr="00853D98">
              <w:rPr>
                <w:rFonts w:cs="Arial"/>
              </w:rPr>
              <w:t>DCR (mm)</w:t>
            </w:r>
          </w:p>
        </w:tc>
        <w:tc>
          <w:tcPr>
            <w:tcW w:w="834"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r w:rsidRPr="00853D98">
              <w:rPr>
                <w:rFonts w:cs="Arial"/>
              </w:rPr>
              <w:t>VR (cm</w:t>
            </w:r>
            <w:r w:rsidRPr="00853D98">
              <w:rPr>
                <w:rFonts w:cs="Arial"/>
                <w:vertAlign w:val="superscript"/>
              </w:rPr>
              <w:t>3</w:t>
            </w:r>
            <w:r w:rsidRPr="00853D98">
              <w:rPr>
                <w:rFonts w:cs="Arial"/>
              </w:rPr>
              <w:t>)</w:t>
            </w:r>
          </w:p>
        </w:tc>
        <w:tc>
          <w:tcPr>
            <w:tcW w:w="832" w:type="pct"/>
            <w:tcBorders>
              <w:top w:val="single" w:sz="12" w:space="0" w:color="000000"/>
              <w:bottom w:val="single" w:sz="12" w:space="0" w:color="000000"/>
            </w:tcBorders>
            <w:vAlign w:val="center"/>
          </w:tcPr>
          <w:p w:rsidR="00780F36" w:rsidRPr="00853D98" w:rsidRDefault="00780F36" w:rsidP="008F1B37">
            <w:pPr>
              <w:spacing w:before="0" w:after="0"/>
              <w:jc w:val="center"/>
              <w:rPr>
                <w:rFonts w:cs="Arial"/>
              </w:rPr>
            </w:pPr>
            <w:r w:rsidRPr="00853D98">
              <w:rPr>
                <w:rFonts w:cs="Arial"/>
              </w:rPr>
              <w:t>PA/PR</w:t>
            </w:r>
          </w:p>
        </w:tc>
      </w:tr>
      <w:tr w:rsidR="00780F36" w:rsidRPr="009B1461" w:rsidTr="00780F36">
        <w:tc>
          <w:tcPr>
            <w:tcW w:w="834" w:type="pct"/>
            <w:vMerge w:val="restart"/>
            <w:tcBorders>
              <w:top w:val="single" w:sz="12" w:space="0" w:color="000000"/>
            </w:tcBorders>
            <w:vAlign w:val="center"/>
          </w:tcPr>
          <w:p w:rsidR="00780F36" w:rsidRPr="009B1461" w:rsidRDefault="00780F36" w:rsidP="008F1B37">
            <w:pPr>
              <w:spacing w:before="0" w:after="0"/>
              <w:jc w:val="center"/>
              <w:rPr>
                <w:rFonts w:cs="Arial"/>
                <w:i/>
              </w:rPr>
            </w:pPr>
            <w:r w:rsidRPr="009B1461">
              <w:rPr>
                <w:rFonts w:cs="Arial"/>
                <w:i/>
              </w:rPr>
              <w:t xml:space="preserve">Ch. </w:t>
            </w:r>
            <w:proofErr w:type="spellStart"/>
            <w:r w:rsidRPr="009B1461">
              <w:rPr>
                <w:rFonts w:cs="Arial"/>
                <w:i/>
              </w:rPr>
              <w:t>cainito</w:t>
            </w:r>
            <w:proofErr w:type="spellEnd"/>
          </w:p>
        </w:tc>
        <w:tc>
          <w:tcPr>
            <w:tcW w:w="911"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Testigo</w:t>
            </w:r>
          </w:p>
        </w:tc>
        <w:tc>
          <w:tcPr>
            <w:tcW w:w="755"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28.79</w:t>
            </w:r>
            <w:r w:rsidRPr="009B1461">
              <w:rPr>
                <w:rFonts w:cs="Arial"/>
                <w:vertAlign w:val="superscript"/>
              </w:rPr>
              <w:t>d</w:t>
            </w:r>
          </w:p>
        </w:tc>
        <w:tc>
          <w:tcPr>
            <w:tcW w:w="834"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4.93</w:t>
            </w:r>
            <w:r w:rsidRPr="009B1461">
              <w:rPr>
                <w:rFonts w:cs="Arial"/>
                <w:vertAlign w:val="superscript"/>
              </w:rPr>
              <w:t>d</w:t>
            </w:r>
          </w:p>
        </w:tc>
        <w:tc>
          <w:tcPr>
            <w:tcW w:w="834"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2.63</w:t>
            </w:r>
            <w:r w:rsidRPr="009B1461">
              <w:rPr>
                <w:rFonts w:cs="Arial"/>
                <w:vertAlign w:val="superscript"/>
              </w:rPr>
              <w:t>e</w:t>
            </w:r>
          </w:p>
        </w:tc>
        <w:tc>
          <w:tcPr>
            <w:tcW w:w="832"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2.51</w:t>
            </w:r>
            <w:r w:rsidRPr="009B1461">
              <w:rPr>
                <w:rFonts w:cs="Arial"/>
                <w:vertAlign w:val="superscript"/>
              </w:rPr>
              <w:t>b</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FM-E (1%)</w:t>
            </w:r>
          </w:p>
        </w:tc>
        <w:tc>
          <w:tcPr>
            <w:tcW w:w="755" w:type="pct"/>
            <w:vAlign w:val="center"/>
          </w:tcPr>
          <w:p w:rsidR="00780F36" w:rsidRPr="009B1461" w:rsidRDefault="00780F36" w:rsidP="008F1B37">
            <w:pPr>
              <w:spacing w:before="0" w:after="0"/>
              <w:jc w:val="center"/>
              <w:rPr>
                <w:rFonts w:cs="Arial"/>
              </w:rPr>
            </w:pPr>
            <w:r w:rsidRPr="009B1461">
              <w:rPr>
                <w:rFonts w:cs="Arial"/>
              </w:rPr>
              <w:t>29.55</w:t>
            </w:r>
            <w:r w:rsidRPr="009B1461">
              <w:rPr>
                <w:rFonts w:cs="Arial"/>
                <w:vertAlign w:val="superscript"/>
              </w:rPr>
              <w:t>cd</w:t>
            </w:r>
          </w:p>
        </w:tc>
        <w:tc>
          <w:tcPr>
            <w:tcW w:w="834" w:type="pct"/>
            <w:vAlign w:val="center"/>
          </w:tcPr>
          <w:p w:rsidR="00780F36" w:rsidRPr="009B1461" w:rsidRDefault="00780F36" w:rsidP="008F1B37">
            <w:pPr>
              <w:spacing w:before="0" w:after="0"/>
              <w:jc w:val="center"/>
              <w:rPr>
                <w:rFonts w:cs="Arial"/>
              </w:rPr>
            </w:pPr>
            <w:r w:rsidRPr="009B1461">
              <w:rPr>
                <w:rFonts w:cs="Arial"/>
              </w:rPr>
              <w:t>5.52</w:t>
            </w:r>
            <w:r w:rsidRPr="009B1461">
              <w:rPr>
                <w:rFonts w:cs="Arial"/>
                <w:vertAlign w:val="superscript"/>
              </w:rPr>
              <w:t>c</w:t>
            </w:r>
          </w:p>
        </w:tc>
        <w:tc>
          <w:tcPr>
            <w:tcW w:w="834" w:type="pct"/>
            <w:vAlign w:val="center"/>
          </w:tcPr>
          <w:p w:rsidR="00780F36" w:rsidRPr="009B1461" w:rsidRDefault="00780F36" w:rsidP="008F1B37">
            <w:pPr>
              <w:spacing w:before="0" w:after="0"/>
              <w:jc w:val="center"/>
              <w:rPr>
                <w:rFonts w:cs="Arial"/>
              </w:rPr>
            </w:pPr>
            <w:r w:rsidRPr="009B1461">
              <w:rPr>
                <w:rFonts w:cs="Arial"/>
              </w:rPr>
              <w:t>6.96</w:t>
            </w:r>
            <w:r w:rsidRPr="009B1461">
              <w:rPr>
                <w:rFonts w:cs="Arial"/>
                <w:vertAlign w:val="superscript"/>
              </w:rPr>
              <w:t>d</w:t>
            </w:r>
          </w:p>
        </w:tc>
        <w:tc>
          <w:tcPr>
            <w:tcW w:w="832" w:type="pct"/>
            <w:vAlign w:val="center"/>
          </w:tcPr>
          <w:p w:rsidR="00780F36" w:rsidRPr="009B1461" w:rsidRDefault="00780F36" w:rsidP="008F1B37">
            <w:pPr>
              <w:spacing w:before="0" w:after="0"/>
              <w:jc w:val="center"/>
              <w:rPr>
                <w:rFonts w:cs="Arial"/>
              </w:rPr>
            </w:pPr>
            <w:r w:rsidRPr="009B1461">
              <w:rPr>
                <w:rFonts w:cs="Arial"/>
              </w:rPr>
              <w:t>2.31</w:t>
            </w:r>
            <w:r w:rsidRPr="009B1461">
              <w:rPr>
                <w:rFonts w:cs="Arial"/>
                <w:vertAlign w:val="superscript"/>
              </w:rPr>
              <w:t>a</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FM-E (2%)</w:t>
            </w:r>
          </w:p>
        </w:tc>
        <w:tc>
          <w:tcPr>
            <w:tcW w:w="755" w:type="pct"/>
            <w:vAlign w:val="center"/>
          </w:tcPr>
          <w:p w:rsidR="00780F36" w:rsidRPr="009B1461" w:rsidRDefault="00780F36" w:rsidP="008F1B37">
            <w:pPr>
              <w:spacing w:before="0" w:after="0"/>
              <w:jc w:val="center"/>
              <w:rPr>
                <w:rFonts w:cs="Arial"/>
              </w:rPr>
            </w:pPr>
            <w:r w:rsidRPr="009B1461">
              <w:rPr>
                <w:rFonts w:cs="Arial"/>
              </w:rPr>
              <w:t>30.39</w:t>
            </w:r>
            <w:r w:rsidRPr="009B1461">
              <w:rPr>
                <w:rFonts w:cs="Arial"/>
                <w:vertAlign w:val="superscript"/>
              </w:rPr>
              <w:t>bc</w:t>
            </w:r>
          </w:p>
        </w:tc>
        <w:tc>
          <w:tcPr>
            <w:tcW w:w="834" w:type="pct"/>
            <w:vAlign w:val="center"/>
          </w:tcPr>
          <w:p w:rsidR="00780F36" w:rsidRPr="009B1461" w:rsidRDefault="00780F36" w:rsidP="008F1B37">
            <w:pPr>
              <w:spacing w:before="0" w:after="0"/>
              <w:jc w:val="center"/>
              <w:rPr>
                <w:rFonts w:cs="Arial"/>
              </w:rPr>
            </w:pPr>
            <w:r w:rsidRPr="009B1461">
              <w:rPr>
                <w:rFonts w:cs="Arial"/>
              </w:rPr>
              <w:t>6.84</w:t>
            </w:r>
            <w:r w:rsidRPr="009B1461">
              <w:rPr>
                <w:rFonts w:cs="Arial"/>
                <w:vertAlign w:val="superscript"/>
              </w:rPr>
              <w:t>b</w:t>
            </w:r>
          </w:p>
        </w:tc>
        <w:tc>
          <w:tcPr>
            <w:tcW w:w="834" w:type="pct"/>
            <w:vAlign w:val="center"/>
          </w:tcPr>
          <w:p w:rsidR="00780F36" w:rsidRPr="009B1461" w:rsidRDefault="00780F36" w:rsidP="008F1B37">
            <w:pPr>
              <w:spacing w:before="0" w:after="0"/>
              <w:jc w:val="center"/>
              <w:rPr>
                <w:rFonts w:cs="Arial"/>
              </w:rPr>
            </w:pPr>
            <w:r w:rsidRPr="009B1461">
              <w:rPr>
                <w:rFonts w:cs="Arial"/>
              </w:rPr>
              <w:t>7.50</w:t>
            </w:r>
            <w:r w:rsidRPr="009B1461">
              <w:rPr>
                <w:rFonts w:cs="Arial"/>
                <w:vertAlign w:val="superscript"/>
              </w:rPr>
              <w:t>c</w:t>
            </w:r>
          </w:p>
        </w:tc>
        <w:tc>
          <w:tcPr>
            <w:tcW w:w="832" w:type="pct"/>
            <w:vAlign w:val="center"/>
          </w:tcPr>
          <w:p w:rsidR="00780F36" w:rsidRPr="009B1461" w:rsidRDefault="00780F36" w:rsidP="008F1B37">
            <w:pPr>
              <w:spacing w:before="0" w:after="0"/>
              <w:jc w:val="center"/>
              <w:rPr>
                <w:rFonts w:cs="Arial"/>
              </w:rPr>
            </w:pPr>
            <w:r w:rsidRPr="009B1461">
              <w:rPr>
                <w:rFonts w:cs="Arial"/>
              </w:rPr>
              <w:t>2.55</w:t>
            </w:r>
            <w:r w:rsidRPr="009B1461">
              <w:rPr>
                <w:rFonts w:cs="Arial"/>
                <w:vertAlign w:val="superscript"/>
              </w:rPr>
              <w:t>b</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FM-E (3%)</w:t>
            </w:r>
          </w:p>
        </w:tc>
        <w:tc>
          <w:tcPr>
            <w:tcW w:w="755" w:type="pct"/>
            <w:vAlign w:val="center"/>
          </w:tcPr>
          <w:p w:rsidR="00780F36" w:rsidRPr="009B1461" w:rsidRDefault="00780F36" w:rsidP="008F1B37">
            <w:pPr>
              <w:spacing w:before="0" w:after="0"/>
              <w:jc w:val="center"/>
              <w:rPr>
                <w:rFonts w:cs="Arial"/>
              </w:rPr>
            </w:pPr>
            <w:r w:rsidRPr="009B1461">
              <w:rPr>
                <w:rFonts w:cs="Arial"/>
              </w:rPr>
              <w:t>28.61</w:t>
            </w:r>
            <w:r w:rsidRPr="009B1461">
              <w:rPr>
                <w:rFonts w:cs="Arial"/>
                <w:vertAlign w:val="superscript"/>
              </w:rPr>
              <w:t>d</w:t>
            </w:r>
          </w:p>
        </w:tc>
        <w:tc>
          <w:tcPr>
            <w:tcW w:w="834" w:type="pct"/>
            <w:vAlign w:val="center"/>
          </w:tcPr>
          <w:p w:rsidR="00780F36" w:rsidRPr="009B1461" w:rsidRDefault="00780F36" w:rsidP="008F1B37">
            <w:pPr>
              <w:spacing w:before="0" w:after="0"/>
              <w:jc w:val="center"/>
              <w:rPr>
                <w:rFonts w:cs="Arial"/>
              </w:rPr>
            </w:pPr>
            <w:r w:rsidRPr="009B1461">
              <w:rPr>
                <w:rFonts w:cs="Arial"/>
              </w:rPr>
              <w:t>5.14</w:t>
            </w:r>
            <w:r w:rsidRPr="009B1461">
              <w:rPr>
                <w:rFonts w:cs="Arial"/>
                <w:vertAlign w:val="superscript"/>
              </w:rPr>
              <w:t>d</w:t>
            </w:r>
          </w:p>
        </w:tc>
        <w:tc>
          <w:tcPr>
            <w:tcW w:w="834" w:type="pct"/>
            <w:vAlign w:val="center"/>
          </w:tcPr>
          <w:p w:rsidR="00780F36" w:rsidRPr="009B1461" w:rsidRDefault="00780F36" w:rsidP="008F1B37">
            <w:pPr>
              <w:spacing w:before="0" w:after="0"/>
              <w:jc w:val="center"/>
              <w:rPr>
                <w:rFonts w:cs="Arial"/>
              </w:rPr>
            </w:pPr>
            <w:r w:rsidRPr="009B1461">
              <w:rPr>
                <w:rFonts w:cs="Arial"/>
              </w:rPr>
              <w:t>6.62</w:t>
            </w:r>
            <w:r w:rsidRPr="009B1461">
              <w:rPr>
                <w:rFonts w:cs="Arial"/>
                <w:vertAlign w:val="superscript"/>
              </w:rPr>
              <w:t>d</w:t>
            </w:r>
          </w:p>
        </w:tc>
        <w:tc>
          <w:tcPr>
            <w:tcW w:w="832" w:type="pct"/>
            <w:vAlign w:val="center"/>
          </w:tcPr>
          <w:p w:rsidR="00780F36" w:rsidRPr="009B1461" w:rsidRDefault="00780F36" w:rsidP="008F1B37">
            <w:pPr>
              <w:spacing w:before="0" w:after="0"/>
              <w:jc w:val="center"/>
              <w:rPr>
                <w:rFonts w:cs="Arial"/>
              </w:rPr>
            </w:pPr>
            <w:r w:rsidRPr="009B1461">
              <w:rPr>
                <w:rFonts w:cs="Arial"/>
              </w:rPr>
              <w:t>2.51</w:t>
            </w:r>
            <w:r w:rsidRPr="009B1461">
              <w:rPr>
                <w:rFonts w:cs="Arial"/>
                <w:vertAlign w:val="superscript"/>
              </w:rPr>
              <w:t>ab</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Bayfolán (0,1%)</w:t>
            </w:r>
          </w:p>
        </w:tc>
        <w:tc>
          <w:tcPr>
            <w:tcW w:w="755" w:type="pct"/>
            <w:vAlign w:val="center"/>
          </w:tcPr>
          <w:p w:rsidR="00780F36" w:rsidRPr="009B1461" w:rsidRDefault="00780F36" w:rsidP="008F1B37">
            <w:pPr>
              <w:spacing w:before="0" w:after="0"/>
              <w:jc w:val="center"/>
              <w:rPr>
                <w:rFonts w:cs="Arial"/>
              </w:rPr>
            </w:pPr>
            <w:r w:rsidRPr="009B1461">
              <w:rPr>
                <w:rFonts w:cs="Arial"/>
              </w:rPr>
              <w:t>30.72</w:t>
            </w:r>
            <w:r w:rsidRPr="009B1461">
              <w:rPr>
                <w:rFonts w:cs="Arial"/>
                <w:vertAlign w:val="superscript"/>
              </w:rPr>
              <w:t>ab</w:t>
            </w:r>
          </w:p>
        </w:tc>
        <w:tc>
          <w:tcPr>
            <w:tcW w:w="834" w:type="pct"/>
            <w:vAlign w:val="center"/>
          </w:tcPr>
          <w:p w:rsidR="00780F36" w:rsidRPr="009B1461" w:rsidRDefault="00780F36" w:rsidP="008F1B37">
            <w:pPr>
              <w:spacing w:before="0" w:after="0"/>
              <w:jc w:val="center"/>
              <w:rPr>
                <w:rFonts w:cs="Arial"/>
              </w:rPr>
            </w:pPr>
            <w:r w:rsidRPr="009B1461">
              <w:rPr>
                <w:rFonts w:cs="Arial"/>
              </w:rPr>
              <w:t>4.27</w:t>
            </w:r>
            <w:r w:rsidRPr="009B1461">
              <w:rPr>
                <w:rFonts w:cs="Arial"/>
                <w:vertAlign w:val="superscript"/>
              </w:rPr>
              <w:t>e</w:t>
            </w:r>
          </w:p>
        </w:tc>
        <w:tc>
          <w:tcPr>
            <w:tcW w:w="834" w:type="pct"/>
            <w:vAlign w:val="center"/>
          </w:tcPr>
          <w:p w:rsidR="00780F36" w:rsidRPr="009B1461" w:rsidRDefault="00780F36" w:rsidP="008F1B37">
            <w:pPr>
              <w:spacing w:before="0" w:after="0"/>
              <w:jc w:val="center"/>
              <w:rPr>
                <w:rFonts w:cs="Arial"/>
              </w:rPr>
            </w:pPr>
            <w:r w:rsidRPr="009B1461">
              <w:rPr>
                <w:rFonts w:cs="Arial"/>
              </w:rPr>
              <w:t>9.08</w:t>
            </w:r>
            <w:r w:rsidRPr="009B1461">
              <w:rPr>
                <w:rFonts w:cs="Arial"/>
                <w:vertAlign w:val="superscript"/>
              </w:rPr>
              <w:t>b</w:t>
            </w:r>
          </w:p>
        </w:tc>
        <w:tc>
          <w:tcPr>
            <w:tcW w:w="832" w:type="pct"/>
            <w:vAlign w:val="center"/>
          </w:tcPr>
          <w:p w:rsidR="00780F36" w:rsidRPr="009B1461" w:rsidRDefault="00780F36" w:rsidP="008F1B37">
            <w:pPr>
              <w:spacing w:before="0" w:after="0"/>
              <w:jc w:val="center"/>
              <w:rPr>
                <w:rFonts w:cs="Arial"/>
              </w:rPr>
            </w:pPr>
            <w:r w:rsidRPr="009B1461">
              <w:rPr>
                <w:rFonts w:cs="Arial"/>
              </w:rPr>
              <w:t>3.06</w:t>
            </w:r>
            <w:r w:rsidRPr="009B1461">
              <w:rPr>
                <w:rFonts w:cs="Arial"/>
                <w:vertAlign w:val="superscript"/>
              </w:rPr>
              <w:t>d</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Bayfolán (0,2%)</w:t>
            </w:r>
          </w:p>
        </w:tc>
        <w:tc>
          <w:tcPr>
            <w:tcW w:w="755" w:type="pct"/>
            <w:vAlign w:val="center"/>
          </w:tcPr>
          <w:p w:rsidR="00780F36" w:rsidRPr="009B1461" w:rsidRDefault="00780F36" w:rsidP="008F1B37">
            <w:pPr>
              <w:spacing w:before="0" w:after="0"/>
              <w:jc w:val="center"/>
              <w:rPr>
                <w:rFonts w:cs="Arial"/>
              </w:rPr>
            </w:pPr>
            <w:r w:rsidRPr="009B1461">
              <w:rPr>
                <w:rFonts w:cs="Arial"/>
              </w:rPr>
              <w:t>31.74</w:t>
            </w:r>
            <w:r w:rsidRPr="009B1461">
              <w:rPr>
                <w:rFonts w:cs="Arial"/>
                <w:vertAlign w:val="superscript"/>
              </w:rPr>
              <w:t>a</w:t>
            </w:r>
          </w:p>
        </w:tc>
        <w:tc>
          <w:tcPr>
            <w:tcW w:w="834" w:type="pct"/>
            <w:vAlign w:val="center"/>
          </w:tcPr>
          <w:p w:rsidR="00780F36" w:rsidRPr="009B1461" w:rsidRDefault="00780F36" w:rsidP="008F1B37">
            <w:pPr>
              <w:spacing w:before="0" w:after="0"/>
              <w:jc w:val="center"/>
              <w:rPr>
                <w:rFonts w:cs="Arial"/>
              </w:rPr>
            </w:pPr>
            <w:r w:rsidRPr="009B1461">
              <w:rPr>
                <w:rFonts w:cs="Arial"/>
              </w:rPr>
              <w:t>7.89ª</w:t>
            </w:r>
          </w:p>
        </w:tc>
        <w:tc>
          <w:tcPr>
            <w:tcW w:w="834" w:type="pct"/>
            <w:vAlign w:val="center"/>
          </w:tcPr>
          <w:p w:rsidR="00780F36" w:rsidRPr="009B1461" w:rsidRDefault="00780F36" w:rsidP="008F1B37">
            <w:pPr>
              <w:spacing w:before="0" w:after="0"/>
              <w:jc w:val="center"/>
              <w:rPr>
                <w:rFonts w:cs="Arial"/>
              </w:rPr>
            </w:pPr>
            <w:r w:rsidRPr="009B1461">
              <w:rPr>
                <w:rFonts w:cs="Arial"/>
              </w:rPr>
              <w:t>9.74ª</w:t>
            </w:r>
          </w:p>
        </w:tc>
        <w:tc>
          <w:tcPr>
            <w:tcW w:w="832" w:type="pct"/>
            <w:vAlign w:val="center"/>
          </w:tcPr>
          <w:p w:rsidR="00780F36" w:rsidRPr="009B1461" w:rsidRDefault="00780F36" w:rsidP="008F1B37">
            <w:pPr>
              <w:spacing w:before="0" w:after="0"/>
              <w:jc w:val="center"/>
              <w:rPr>
                <w:rFonts w:cs="Arial"/>
              </w:rPr>
            </w:pPr>
            <w:r w:rsidRPr="009B1461">
              <w:rPr>
                <w:rFonts w:cs="Arial"/>
              </w:rPr>
              <w:t>3.10</w:t>
            </w:r>
            <w:r w:rsidRPr="009B1461">
              <w:rPr>
                <w:rFonts w:cs="Arial"/>
                <w:vertAlign w:val="superscript"/>
              </w:rPr>
              <w:t>e</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Bayfolán (0,3%)</w:t>
            </w:r>
          </w:p>
        </w:tc>
        <w:tc>
          <w:tcPr>
            <w:tcW w:w="755" w:type="pct"/>
            <w:vAlign w:val="center"/>
          </w:tcPr>
          <w:p w:rsidR="00780F36" w:rsidRPr="009B1461" w:rsidRDefault="00780F36" w:rsidP="008F1B37">
            <w:pPr>
              <w:spacing w:before="0" w:after="0"/>
              <w:jc w:val="center"/>
              <w:rPr>
                <w:rFonts w:cs="Arial"/>
              </w:rPr>
            </w:pPr>
            <w:r w:rsidRPr="009B1461">
              <w:rPr>
                <w:rFonts w:cs="Arial"/>
              </w:rPr>
              <w:t>30.27</w:t>
            </w:r>
            <w:r w:rsidRPr="009B1461">
              <w:rPr>
                <w:rFonts w:cs="Arial"/>
                <w:vertAlign w:val="superscript"/>
              </w:rPr>
              <w:t>bc</w:t>
            </w:r>
          </w:p>
        </w:tc>
        <w:tc>
          <w:tcPr>
            <w:tcW w:w="834" w:type="pct"/>
            <w:vAlign w:val="center"/>
          </w:tcPr>
          <w:p w:rsidR="00780F36" w:rsidRPr="009B1461" w:rsidRDefault="00780F36" w:rsidP="008F1B37">
            <w:pPr>
              <w:spacing w:before="0" w:after="0"/>
              <w:jc w:val="center"/>
              <w:rPr>
                <w:rFonts w:cs="Arial"/>
              </w:rPr>
            </w:pPr>
            <w:r w:rsidRPr="009B1461">
              <w:rPr>
                <w:rFonts w:cs="Arial"/>
              </w:rPr>
              <w:t>7.75ª</w:t>
            </w:r>
          </w:p>
        </w:tc>
        <w:tc>
          <w:tcPr>
            <w:tcW w:w="834" w:type="pct"/>
            <w:vAlign w:val="center"/>
          </w:tcPr>
          <w:p w:rsidR="00780F36" w:rsidRPr="009B1461" w:rsidRDefault="00780F36" w:rsidP="008F1B37">
            <w:pPr>
              <w:spacing w:before="0" w:after="0"/>
              <w:jc w:val="center"/>
              <w:rPr>
                <w:rFonts w:cs="Arial"/>
              </w:rPr>
            </w:pPr>
            <w:r w:rsidRPr="009B1461">
              <w:rPr>
                <w:rFonts w:cs="Arial"/>
              </w:rPr>
              <w:t>9.20</w:t>
            </w:r>
            <w:r w:rsidRPr="009B1461">
              <w:rPr>
                <w:rFonts w:cs="Arial"/>
                <w:vertAlign w:val="superscript"/>
              </w:rPr>
              <w:t>b</w:t>
            </w:r>
          </w:p>
        </w:tc>
        <w:tc>
          <w:tcPr>
            <w:tcW w:w="832" w:type="pct"/>
            <w:vAlign w:val="center"/>
          </w:tcPr>
          <w:p w:rsidR="00780F36" w:rsidRPr="009B1461" w:rsidRDefault="00780F36" w:rsidP="008F1B37">
            <w:pPr>
              <w:spacing w:before="0" w:after="0"/>
              <w:jc w:val="center"/>
              <w:rPr>
                <w:rFonts w:cs="Arial"/>
              </w:rPr>
            </w:pPr>
            <w:r w:rsidRPr="009B1461">
              <w:rPr>
                <w:rFonts w:cs="Arial"/>
              </w:rPr>
              <w:t>2.97</w:t>
            </w:r>
            <w:r w:rsidRPr="009B1461">
              <w:rPr>
                <w:rFonts w:cs="Arial"/>
                <w:vertAlign w:val="superscript"/>
              </w:rPr>
              <w:t>d</w:t>
            </w:r>
          </w:p>
        </w:tc>
      </w:tr>
      <w:tr w:rsidR="00780F36" w:rsidRPr="009B1461" w:rsidTr="00780F36">
        <w:tc>
          <w:tcPr>
            <w:tcW w:w="834" w:type="pct"/>
            <w:vMerge/>
            <w:tcBorders>
              <w:bottom w:val="single" w:sz="12" w:space="0" w:color="000000"/>
            </w:tcBorders>
            <w:vAlign w:val="center"/>
          </w:tcPr>
          <w:p w:rsidR="00780F36" w:rsidRPr="009B1461" w:rsidRDefault="00780F36" w:rsidP="008F1B37">
            <w:pPr>
              <w:spacing w:before="0" w:after="0"/>
              <w:jc w:val="center"/>
              <w:rPr>
                <w:rFonts w:cs="Arial"/>
              </w:rPr>
            </w:pPr>
          </w:p>
        </w:tc>
        <w:tc>
          <w:tcPr>
            <w:tcW w:w="911"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b/>
              </w:rPr>
              <w:t>CV±ES</w:t>
            </w:r>
          </w:p>
        </w:tc>
        <w:tc>
          <w:tcPr>
            <w:tcW w:w="755"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4.13±0.39</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6.73±0.13</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5.69±0.13</w:t>
            </w:r>
          </w:p>
        </w:tc>
        <w:tc>
          <w:tcPr>
            <w:tcW w:w="832"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6.47±0.08</w:t>
            </w:r>
          </w:p>
        </w:tc>
      </w:tr>
      <w:tr w:rsidR="00780F36" w:rsidRPr="009B1461" w:rsidTr="00780F36">
        <w:tc>
          <w:tcPr>
            <w:tcW w:w="834" w:type="pct"/>
            <w:vMerge w:val="restart"/>
            <w:tcBorders>
              <w:top w:val="single" w:sz="12" w:space="0" w:color="000000"/>
            </w:tcBorders>
            <w:vAlign w:val="center"/>
          </w:tcPr>
          <w:p w:rsidR="00780F36" w:rsidRPr="009B1461" w:rsidRDefault="00780F36" w:rsidP="008F1B37">
            <w:pPr>
              <w:spacing w:before="0" w:after="0"/>
              <w:jc w:val="center"/>
              <w:rPr>
                <w:rFonts w:cs="Arial"/>
                <w:i/>
              </w:rPr>
            </w:pPr>
            <w:r w:rsidRPr="009B1461">
              <w:rPr>
                <w:rFonts w:cs="Arial"/>
                <w:i/>
              </w:rPr>
              <w:t xml:space="preserve">C. </w:t>
            </w:r>
            <w:proofErr w:type="spellStart"/>
            <w:r w:rsidRPr="009B1461">
              <w:rPr>
                <w:rFonts w:cs="Arial"/>
                <w:i/>
              </w:rPr>
              <w:t>zeylanicum</w:t>
            </w:r>
            <w:proofErr w:type="spellEnd"/>
          </w:p>
        </w:tc>
        <w:tc>
          <w:tcPr>
            <w:tcW w:w="911"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Testigo</w:t>
            </w:r>
          </w:p>
        </w:tc>
        <w:tc>
          <w:tcPr>
            <w:tcW w:w="755" w:type="pct"/>
            <w:tcBorders>
              <w:top w:val="single" w:sz="12" w:space="0" w:color="000000"/>
            </w:tcBorders>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10.73</w:t>
            </w:r>
            <w:r w:rsidRPr="009B1461">
              <w:rPr>
                <w:rFonts w:cs="Arial"/>
                <w:color w:val="000000" w:themeColor="text1"/>
                <w:vertAlign w:val="superscript"/>
              </w:rPr>
              <w:t>c</w:t>
            </w:r>
          </w:p>
        </w:tc>
        <w:tc>
          <w:tcPr>
            <w:tcW w:w="834" w:type="pct"/>
            <w:tcBorders>
              <w:top w:val="single" w:sz="12" w:space="0" w:color="000000"/>
            </w:tcBorders>
            <w:vAlign w:val="center"/>
          </w:tcPr>
          <w:p w:rsidR="00780F36" w:rsidRPr="009B1461" w:rsidRDefault="00780F36" w:rsidP="008F1B37">
            <w:pPr>
              <w:spacing w:before="0" w:after="0"/>
              <w:jc w:val="center"/>
              <w:rPr>
                <w:rFonts w:cs="Arial"/>
                <w:color w:val="000000" w:themeColor="text1"/>
                <w:vertAlign w:val="superscript"/>
              </w:rPr>
            </w:pPr>
            <w:r w:rsidRPr="009B1461">
              <w:rPr>
                <w:rFonts w:cs="Arial"/>
                <w:color w:val="000000" w:themeColor="text1"/>
              </w:rPr>
              <w:t>1.98</w:t>
            </w:r>
            <w:r w:rsidRPr="009B1461">
              <w:rPr>
                <w:rFonts w:cs="Arial"/>
                <w:color w:val="000000" w:themeColor="text1"/>
                <w:vertAlign w:val="superscript"/>
              </w:rPr>
              <w:t>b</w:t>
            </w:r>
          </w:p>
        </w:tc>
        <w:tc>
          <w:tcPr>
            <w:tcW w:w="834" w:type="pct"/>
            <w:tcBorders>
              <w:top w:val="single" w:sz="12" w:space="0" w:color="000000"/>
            </w:tcBorders>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4.90</w:t>
            </w:r>
            <w:r w:rsidRPr="009B1461">
              <w:rPr>
                <w:rFonts w:cs="Arial"/>
                <w:color w:val="000000" w:themeColor="text1"/>
                <w:vertAlign w:val="superscript"/>
              </w:rPr>
              <w:t>c</w:t>
            </w:r>
          </w:p>
        </w:tc>
        <w:tc>
          <w:tcPr>
            <w:tcW w:w="832" w:type="pct"/>
            <w:tcBorders>
              <w:top w:val="single" w:sz="12" w:space="0" w:color="000000"/>
            </w:tcBorders>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3.3</w:t>
            </w:r>
            <w:r w:rsidRPr="009B1461">
              <w:rPr>
                <w:rFonts w:cs="Arial"/>
                <w:color w:val="000000" w:themeColor="text1"/>
                <w:vertAlign w:val="superscript"/>
              </w:rPr>
              <w:t>c</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FM-E (1%)</w:t>
            </w:r>
          </w:p>
        </w:tc>
        <w:tc>
          <w:tcPr>
            <w:tcW w:w="755"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12.92</w:t>
            </w:r>
            <w:r w:rsidRPr="009B1461">
              <w:rPr>
                <w:rFonts w:cs="Arial"/>
                <w:color w:val="000000" w:themeColor="text1"/>
                <w:vertAlign w:val="superscript"/>
              </w:rPr>
              <w:t>b</w:t>
            </w:r>
          </w:p>
        </w:tc>
        <w:tc>
          <w:tcPr>
            <w:tcW w:w="834" w:type="pct"/>
            <w:vAlign w:val="center"/>
          </w:tcPr>
          <w:p w:rsidR="00780F36" w:rsidRPr="009B1461" w:rsidRDefault="00780F36" w:rsidP="008F1B37">
            <w:pPr>
              <w:spacing w:before="0" w:after="0"/>
              <w:jc w:val="center"/>
              <w:rPr>
                <w:rFonts w:cs="Arial"/>
                <w:color w:val="000000" w:themeColor="text1"/>
                <w:vertAlign w:val="superscript"/>
              </w:rPr>
            </w:pPr>
            <w:r w:rsidRPr="009B1461">
              <w:rPr>
                <w:rFonts w:cs="Arial"/>
                <w:color w:val="000000" w:themeColor="text1"/>
              </w:rPr>
              <w:t>3.06</w:t>
            </w:r>
            <w:r w:rsidRPr="009B1461">
              <w:rPr>
                <w:rFonts w:cs="Arial"/>
                <w:color w:val="000000" w:themeColor="text1"/>
                <w:vertAlign w:val="superscript"/>
              </w:rPr>
              <w:t>a</w:t>
            </w:r>
          </w:p>
        </w:tc>
        <w:tc>
          <w:tcPr>
            <w:tcW w:w="834"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9.80</w:t>
            </w:r>
            <w:r w:rsidRPr="009B1461">
              <w:rPr>
                <w:rFonts w:cs="Arial"/>
                <w:color w:val="000000" w:themeColor="text1"/>
                <w:vertAlign w:val="superscript"/>
              </w:rPr>
              <w:t>b</w:t>
            </w:r>
          </w:p>
        </w:tc>
        <w:tc>
          <w:tcPr>
            <w:tcW w:w="832"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2.38</w:t>
            </w:r>
            <w:r w:rsidRPr="009B1461">
              <w:rPr>
                <w:rFonts w:cs="Arial"/>
                <w:color w:val="000000" w:themeColor="text1"/>
                <w:vertAlign w:val="superscript"/>
              </w:rPr>
              <w:t>a</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FM-E (2%)</w:t>
            </w:r>
          </w:p>
        </w:tc>
        <w:tc>
          <w:tcPr>
            <w:tcW w:w="755"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14.5ª</w:t>
            </w:r>
          </w:p>
        </w:tc>
        <w:tc>
          <w:tcPr>
            <w:tcW w:w="834" w:type="pct"/>
            <w:vAlign w:val="center"/>
          </w:tcPr>
          <w:p w:rsidR="00780F36" w:rsidRPr="009B1461" w:rsidRDefault="00780F36" w:rsidP="008F1B37">
            <w:pPr>
              <w:spacing w:before="0" w:after="0"/>
              <w:jc w:val="center"/>
              <w:rPr>
                <w:rFonts w:cs="Arial"/>
                <w:color w:val="000000" w:themeColor="text1"/>
                <w:vertAlign w:val="superscript"/>
              </w:rPr>
            </w:pPr>
            <w:r w:rsidRPr="009B1461">
              <w:rPr>
                <w:rFonts w:cs="Arial"/>
                <w:color w:val="000000" w:themeColor="text1"/>
              </w:rPr>
              <w:t>3.24</w:t>
            </w:r>
            <w:r w:rsidRPr="009B1461">
              <w:rPr>
                <w:rFonts w:cs="Arial"/>
                <w:color w:val="000000" w:themeColor="text1"/>
                <w:vertAlign w:val="superscript"/>
              </w:rPr>
              <w:t>a</w:t>
            </w:r>
          </w:p>
        </w:tc>
        <w:tc>
          <w:tcPr>
            <w:tcW w:w="834"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10.03</w:t>
            </w:r>
            <w:r w:rsidRPr="009B1461">
              <w:rPr>
                <w:rFonts w:cs="Arial"/>
                <w:color w:val="000000" w:themeColor="text1"/>
                <w:vertAlign w:val="superscript"/>
              </w:rPr>
              <w:t>a</w:t>
            </w:r>
          </w:p>
        </w:tc>
        <w:tc>
          <w:tcPr>
            <w:tcW w:w="832" w:type="pct"/>
            <w:vAlign w:val="center"/>
          </w:tcPr>
          <w:p w:rsidR="00780F36" w:rsidRPr="009B1461" w:rsidRDefault="00780F36" w:rsidP="008F1B37">
            <w:pPr>
              <w:spacing w:before="0" w:after="0"/>
              <w:jc w:val="center"/>
              <w:rPr>
                <w:rFonts w:cs="Arial"/>
                <w:color w:val="000000" w:themeColor="text1"/>
              </w:rPr>
            </w:pPr>
            <w:r w:rsidRPr="009B1461">
              <w:rPr>
                <w:rFonts w:cs="Arial"/>
                <w:color w:val="000000" w:themeColor="text1"/>
              </w:rPr>
              <w:t>3.01</w:t>
            </w:r>
            <w:r w:rsidRPr="009B1461">
              <w:rPr>
                <w:rFonts w:cs="Arial"/>
                <w:color w:val="000000" w:themeColor="text1"/>
                <w:vertAlign w:val="superscript"/>
              </w:rPr>
              <w:t>b</w:t>
            </w:r>
          </w:p>
        </w:tc>
      </w:tr>
      <w:tr w:rsidR="00780F36" w:rsidRPr="009B1461" w:rsidTr="00780F36">
        <w:tc>
          <w:tcPr>
            <w:tcW w:w="834" w:type="pct"/>
            <w:vMerge/>
            <w:tcBorders>
              <w:bottom w:val="single" w:sz="12" w:space="0" w:color="000000"/>
            </w:tcBorders>
            <w:vAlign w:val="center"/>
          </w:tcPr>
          <w:p w:rsidR="00780F36" w:rsidRPr="009B1461" w:rsidRDefault="00780F36" w:rsidP="008F1B37">
            <w:pPr>
              <w:spacing w:before="0" w:after="0"/>
              <w:jc w:val="center"/>
              <w:rPr>
                <w:rFonts w:cs="Arial"/>
              </w:rPr>
            </w:pPr>
          </w:p>
        </w:tc>
        <w:tc>
          <w:tcPr>
            <w:tcW w:w="911"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b/>
              </w:rPr>
              <w:t>CV±ES</w:t>
            </w:r>
          </w:p>
        </w:tc>
        <w:tc>
          <w:tcPr>
            <w:tcW w:w="755"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color w:val="000000" w:themeColor="text1"/>
              </w:rPr>
              <w:t>4.94±0.20</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color w:val="000000" w:themeColor="text1"/>
              </w:rPr>
              <w:t>7.83±0.68</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color w:val="000000" w:themeColor="text1"/>
              </w:rPr>
              <w:t>1.16±0.03</w:t>
            </w:r>
          </w:p>
        </w:tc>
        <w:tc>
          <w:tcPr>
            <w:tcW w:w="832"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color w:val="000000" w:themeColor="text1"/>
              </w:rPr>
              <w:t>5.25±0.048</w:t>
            </w:r>
          </w:p>
        </w:tc>
      </w:tr>
      <w:tr w:rsidR="00780F36" w:rsidRPr="009B1461" w:rsidTr="00780F36">
        <w:tc>
          <w:tcPr>
            <w:tcW w:w="834" w:type="pct"/>
            <w:vMerge w:val="restart"/>
            <w:tcBorders>
              <w:top w:val="single" w:sz="12" w:space="0" w:color="000000"/>
            </w:tcBorders>
            <w:vAlign w:val="center"/>
          </w:tcPr>
          <w:p w:rsidR="00780F36" w:rsidRPr="009B1461" w:rsidRDefault="00780F36" w:rsidP="008F1B37">
            <w:pPr>
              <w:spacing w:before="0" w:after="0"/>
              <w:jc w:val="center"/>
              <w:rPr>
                <w:rFonts w:cs="Arial"/>
                <w:i/>
              </w:rPr>
            </w:pPr>
            <w:r w:rsidRPr="009B1461">
              <w:rPr>
                <w:rFonts w:cs="Arial"/>
                <w:i/>
              </w:rPr>
              <w:t>S. mahagoni</w:t>
            </w:r>
          </w:p>
        </w:tc>
        <w:tc>
          <w:tcPr>
            <w:tcW w:w="911"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Testigo</w:t>
            </w:r>
          </w:p>
        </w:tc>
        <w:tc>
          <w:tcPr>
            <w:tcW w:w="755"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26,79</w:t>
            </w:r>
            <w:r w:rsidRPr="009B1461">
              <w:rPr>
                <w:rFonts w:cs="Arial"/>
                <w:vertAlign w:val="superscript"/>
              </w:rPr>
              <w:t>ab</w:t>
            </w:r>
          </w:p>
        </w:tc>
        <w:tc>
          <w:tcPr>
            <w:tcW w:w="834"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4,7</w:t>
            </w:r>
            <w:r>
              <w:rPr>
                <w:rFonts w:cs="Arial"/>
              </w:rPr>
              <w:t>3</w:t>
            </w:r>
            <w:r w:rsidRPr="009B1461">
              <w:rPr>
                <w:rFonts w:cs="Arial"/>
                <w:vertAlign w:val="superscript"/>
              </w:rPr>
              <w:t>ab</w:t>
            </w:r>
          </w:p>
        </w:tc>
        <w:tc>
          <w:tcPr>
            <w:tcW w:w="834"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1,4</w:t>
            </w:r>
            <w:r>
              <w:rPr>
                <w:rFonts w:cs="Arial"/>
              </w:rPr>
              <w:t>1</w:t>
            </w:r>
            <w:r w:rsidRPr="009B1461">
              <w:rPr>
                <w:rFonts w:cs="Arial"/>
                <w:vertAlign w:val="superscript"/>
              </w:rPr>
              <w:t>a</w:t>
            </w:r>
          </w:p>
        </w:tc>
        <w:tc>
          <w:tcPr>
            <w:tcW w:w="832" w:type="pct"/>
            <w:tcBorders>
              <w:top w:val="single" w:sz="12" w:space="0" w:color="000000"/>
            </w:tcBorders>
            <w:vAlign w:val="center"/>
          </w:tcPr>
          <w:p w:rsidR="00780F36" w:rsidRPr="009B1461" w:rsidRDefault="00780F36" w:rsidP="008F1B37">
            <w:pPr>
              <w:spacing w:before="0" w:after="0"/>
              <w:jc w:val="center"/>
              <w:rPr>
                <w:rFonts w:cs="Arial"/>
              </w:rPr>
            </w:pPr>
            <w:r w:rsidRPr="009B1461">
              <w:rPr>
                <w:rFonts w:cs="Arial"/>
              </w:rPr>
              <w:t>4,63</w:t>
            </w:r>
            <w:r w:rsidRPr="009B1461">
              <w:rPr>
                <w:rFonts w:cs="Arial"/>
                <w:vertAlign w:val="superscript"/>
              </w:rPr>
              <w:t>b</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VSD</w:t>
            </w:r>
            <w:r>
              <w:rPr>
                <w:rFonts w:cs="Arial"/>
              </w:rPr>
              <w:t>-A</w:t>
            </w:r>
            <w:r w:rsidRPr="009B1461">
              <w:rPr>
                <w:rFonts w:cs="Arial"/>
              </w:rPr>
              <w:t xml:space="preserve"> (0,25Lha</w:t>
            </w:r>
            <w:r w:rsidRPr="009B1461">
              <w:rPr>
                <w:rFonts w:cs="Arial"/>
                <w:vertAlign w:val="superscript"/>
              </w:rPr>
              <w:t>-1</w:t>
            </w:r>
            <w:r w:rsidRPr="009B1461">
              <w:rPr>
                <w:rFonts w:cs="Arial"/>
              </w:rPr>
              <w:t>)</w:t>
            </w:r>
          </w:p>
        </w:tc>
        <w:tc>
          <w:tcPr>
            <w:tcW w:w="755" w:type="pct"/>
            <w:vAlign w:val="center"/>
          </w:tcPr>
          <w:p w:rsidR="00780F36" w:rsidRPr="009B1461" w:rsidRDefault="00780F36" w:rsidP="008F1B37">
            <w:pPr>
              <w:spacing w:before="0" w:after="0"/>
              <w:jc w:val="center"/>
              <w:rPr>
                <w:rFonts w:cs="Arial"/>
              </w:rPr>
            </w:pPr>
            <w:r w:rsidRPr="009B1461">
              <w:rPr>
                <w:rFonts w:cs="Arial"/>
              </w:rPr>
              <w:t>25,33</w:t>
            </w:r>
            <w:r w:rsidRPr="009B1461">
              <w:rPr>
                <w:rFonts w:cs="Arial"/>
                <w:vertAlign w:val="superscript"/>
              </w:rPr>
              <w:t>c</w:t>
            </w:r>
          </w:p>
        </w:tc>
        <w:tc>
          <w:tcPr>
            <w:tcW w:w="834" w:type="pct"/>
            <w:vAlign w:val="center"/>
          </w:tcPr>
          <w:p w:rsidR="00780F36" w:rsidRPr="009B1461" w:rsidRDefault="00780F36" w:rsidP="008F1B37">
            <w:pPr>
              <w:spacing w:before="0" w:after="0"/>
              <w:jc w:val="center"/>
              <w:rPr>
                <w:rFonts w:cs="Arial"/>
              </w:rPr>
            </w:pPr>
            <w:r w:rsidRPr="009B1461">
              <w:rPr>
                <w:rFonts w:cs="Arial"/>
              </w:rPr>
              <w:t>4,9</w:t>
            </w:r>
            <w:r>
              <w:rPr>
                <w:rFonts w:cs="Arial"/>
              </w:rPr>
              <w:t>3</w:t>
            </w:r>
            <w:r w:rsidRPr="009B1461">
              <w:rPr>
                <w:rFonts w:cs="Arial"/>
                <w:vertAlign w:val="superscript"/>
              </w:rPr>
              <w:t>a</w:t>
            </w:r>
          </w:p>
        </w:tc>
        <w:tc>
          <w:tcPr>
            <w:tcW w:w="834" w:type="pct"/>
            <w:vAlign w:val="center"/>
          </w:tcPr>
          <w:p w:rsidR="00780F36" w:rsidRPr="009B1461" w:rsidRDefault="00780F36" w:rsidP="008F1B37">
            <w:pPr>
              <w:spacing w:before="0" w:after="0"/>
              <w:jc w:val="center"/>
              <w:rPr>
                <w:rFonts w:cs="Arial"/>
              </w:rPr>
            </w:pPr>
            <w:r w:rsidRPr="009B1461">
              <w:rPr>
                <w:rFonts w:cs="Arial"/>
              </w:rPr>
              <w:t>1,3</w:t>
            </w:r>
            <w:r>
              <w:rPr>
                <w:rFonts w:cs="Arial"/>
              </w:rPr>
              <w:t>8</w:t>
            </w:r>
            <w:r w:rsidRPr="009B1461">
              <w:rPr>
                <w:rFonts w:cs="Arial"/>
                <w:vertAlign w:val="superscript"/>
              </w:rPr>
              <w:t>a</w:t>
            </w:r>
          </w:p>
        </w:tc>
        <w:tc>
          <w:tcPr>
            <w:tcW w:w="832" w:type="pct"/>
            <w:vAlign w:val="center"/>
          </w:tcPr>
          <w:p w:rsidR="00780F36" w:rsidRPr="009B1461" w:rsidRDefault="00780F36" w:rsidP="008F1B37">
            <w:pPr>
              <w:spacing w:before="0" w:after="0"/>
              <w:jc w:val="center"/>
              <w:rPr>
                <w:rFonts w:cs="Arial"/>
              </w:rPr>
            </w:pPr>
            <w:r w:rsidRPr="009B1461">
              <w:rPr>
                <w:rFonts w:cs="Arial"/>
              </w:rPr>
              <w:t>4,21</w:t>
            </w:r>
            <w:r w:rsidRPr="009B1461">
              <w:rPr>
                <w:rFonts w:cs="Arial"/>
                <w:vertAlign w:val="superscript"/>
              </w:rPr>
              <w:t>a</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Default="00780F36" w:rsidP="008F1B37">
            <w:pPr>
              <w:spacing w:before="0" w:after="0"/>
              <w:jc w:val="center"/>
              <w:rPr>
                <w:rFonts w:cs="Arial"/>
              </w:rPr>
            </w:pPr>
            <w:r w:rsidRPr="009B1461">
              <w:rPr>
                <w:rFonts w:cs="Arial"/>
              </w:rPr>
              <w:t>VSD</w:t>
            </w:r>
            <w:r>
              <w:rPr>
                <w:rFonts w:cs="Arial"/>
              </w:rPr>
              <w:t>-A</w:t>
            </w:r>
          </w:p>
          <w:p w:rsidR="00780F36" w:rsidRPr="009B1461" w:rsidRDefault="00780F36" w:rsidP="008F1B37">
            <w:pPr>
              <w:spacing w:before="0" w:after="0"/>
              <w:jc w:val="center"/>
              <w:rPr>
                <w:rFonts w:cs="Arial"/>
              </w:rPr>
            </w:pPr>
            <w:r w:rsidRPr="009B1461">
              <w:rPr>
                <w:rFonts w:cs="Arial"/>
              </w:rPr>
              <w:t xml:space="preserve"> (0,50 Lha</w:t>
            </w:r>
            <w:r w:rsidRPr="009B1461">
              <w:rPr>
                <w:rFonts w:cs="Arial"/>
                <w:vertAlign w:val="superscript"/>
              </w:rPr>
              <w:t>-1</w:t>
            </w:r>
            <w:r w:rsidRPr="009B1461">
              <w:rPr>
                <w:rFonts w:cs="Arial"/>
              </w:rPr>
              <w:t>)</w:t>
            </w:r>
          </w:p>
        </w:tc>
        <w:tc>
          <w:tcPr>
            <w:tcW w:w="755" w:type="pct"/>
            <w:vAlign w:val="center"/>
          </w:tcPr>
          <w:p w:rsidR="00780F36" w:rsidRPr="009B1461" w:rsidRDefault="00780F36" w:rsidP="008F1B37">
            <w:pPr>
              <w:spacing w:before="0" w:after="0"/>
              <w:jc w:val="center"/>
              <w:rPr>
                <w:rFonts w:cs="Arial"/>
              </w:rPr>
            </w:pPr>
            <w:r w:rsidRPr="009B1461">
              <w:rPr>
                <w:rFonts w:cs="Arial"/>
              </w:rPr>
              <w:t>25,78</w:t>
            </w:r>
            <w:r w:rsidRPr="009B1461">
              <w:rPr>
                <w:rFonts w:cs="Arial"/>
                <w:vertAlign w:val="superscript"/>
              </w:rPr>
              <w:t>bc</w:t>
            </w:r>
          </w:p>
        </w:tc>
        <w:tc>
          <w:tcPr>
            <w:tcW w:w="834" w:type="pct"/>
            <w:vAlign w:val="center"/>
          </w:tcPr>
          <w:p w:rsidR="00780F36" w:rsidRPr="009B1461" w:rsidRDefault="00780F36" w:rsidP="008F1B37">
            <w:pPr>
              <w:spacing w:before="0" w:after="0"/>
              <w:jc w:val="center"/>
              <w:rPr>
                <w:rFonts w:cs="Arial"/>
              </w:rPr>
            </w:pPr>
            <w:r w:rsidRPr="009B1461">
              <w:rPr>
                <w:rFonts w:cs="Arial"/>
              </w:rPr>
              <w:t>4,55</w:t>
            </w:r>
            <w:r w:rsidRPr="009B1461">
              <w:rPr>
                <w:rFonts w:cs="Arial"/>
                <w:vertAlign w:val="superscript"/>
              </w:rPr>
              <w:t>b</w:t>
            </w:r>
          </w:p>
        </w:tc>
        <w:tc>
          <w:tcPr>
            <w:tcW w:w="834" w:type="pct"/>
            <w:vAlign w:val="center"/>
          </w:tcPr>
          <w:p w:rsidR="00780F36" w:rsidRPr="009B1461" w:rsidRDefault="00780F36" w:rsidP="008F1B37">
            <w:pPr>
              <w:spacing w:before="0" w:after="0"/>
              <w:jc w:val="center"/>
              <w:rPr>
                <w:rFonts w:cs="Arial"/>
              </w:rPr>
            </w:pPr>
            <w:r w:rsidRPr="009B1461">
              <w:rPr>
                <w:rFonts w:cs="Arial"/>
              </w:rPr>
              <w:t>1,10</w:t>
            </w:r>
            <w:r w:rsidRPr="009B1461">
              <w:rPr>
                <w:rFonts w:cs="Arial"/>
                <w:vertAlign w:val="superscript"/>
              </w:rPr>
              <w:t>b</w:t>
            </w:r>
          </w:p>
        </w:tc>
        <w:tc>
          <w:tcPr>
            <w:tcW w:w="832" w:type="pct"/>
            <w:vAlign w:val="center"/>
          </w:tcPr>
          <w:p w:rsidR="00780F36" w:rsidRPr="009B1461" w:rsidRDefault="00780F36" w:rsidP="008F1B37">
            <w:pPr>
              <w:spacing w:before="0" w:after="0"/>
              <w:jc w:val="center"/>
              <w:rPr>
                <w:rFonts w:cs="Arial"/>
              </w:rPr>
            </w:pPr>
            <w:r w:rsidRPr="009B1461">
              <w:rPr>
                <w:rFonts w:cs="Arial"/>
              </w:rPr>
              <w:t>4,62</w:t>
            </w:r>
            <w:r w:rsidRPr="009B1461">
              <w:rPr>
                <w:rFonts w:cs="Arial"/>
                <w:vertAlign w:val="superscript"/>
              </w:rPr>
              <w:t>b</w:t>
            </w:r>
          </w:p>
        </w:tc>
      </w:tr>
      <w:tr w:rsidR="00780F36" w:rsidRPr="009B1461" w:rsidTr="00780F36">
        <w:tc>
          <w:tcPr>
            <w:tcW w:w="834" w:type="pct"/>
            <w:vMerge/>
            <w:vAlign w:val="center"/>
          </w:tcPr>
          <w:p w:rsidR="00780F36" w:rsidRPr="009B1461" w:rsidRDefault="00780F36" w:rsidP="008F1B37">
            <w:pPr>
              <w:spacing w:before="0" w:after="0"/>
              <w:jc w:val="center"/>
              <w:rPr>
                <w:rFonts w:cs="Arial"/>
              </w:rPr>
            </w:pPr>
          </w:p>
        </w:tc>
        <w:tc>
          <w:tcPr>
            <w:tcW w:w="911" w:type="pct"/>
            <w:vAlign w:val="center"/>
          </w:tcPr>
          <w:p w:rsidR="00780F36" w:rsidRPr="009B1461" w:rsidRDefault="00780F36" w:rsidP="008F1B37">
            <w:pPr>
              <w:spacing w:before="0" w:after="0"/>
              <w:jc w:val="center"/>
              <w:rPr>
                <w:rFonts w:cs="Arial"/>
              </w:rPr>
            </w:pPr>
            <w:r w:rsidRPr="009B1461">
              <w:rPr>
                <w:rFonts w:cs="Arial"/>
              </w:rPr>
              <w:t>VSD</w:t>
            </w:r>
            <w:r>
              <w:rPr>
                <w:rFonts w:cs="Arial"/>
              </w:rPr>
              <w:t>-A</w:t>
            </w:r>
            <w:r w:rsidRPr="009B1461">
              <w:rPr>
                <w:rFonts w:cs="Arial"/>
              </w:rPr>
              <w:t xml:space="preserve"> (0,75Lha</w:t>
            </w:r>
            <w:r w:rsidRPr="009B1461">
              <w:rPr>
                <w:rFonts w:cs="Arial"/>
                <w:vertAlign w:val="superscript"/>
              </w:rPr>
              <w:t>-1</w:t>
            </w:r>
            <w:r w:rsidRPr="009B1461">
              <w:rPr>
                <w:rFonts w:cs="Arial"/>
              </w:rPr>
              <w:t>)</w:t>
            </w:r>
          </w:p>
        </w:tc>
        <w:tc>
          <w:tcPr>
            <w:tcW w:w="755" w:type="pct"/>
            <w:vAlign w:val="center"/>
          </w:tcPr>
          <w:p w:rsidR="00780F36" w:rsidRPr="009B1461" w:rsidRDefault="00780F36" w:rsidP="008F1B37">
            <w:pPr>
              <w:spacing w:before="0" w:after="0"/>
              <w:jc w:val="center"/>
              <w:rPr>
                <w:rFonts w:cs="Arial"/>
              </w:rPr>
            </w:pPr>
            <w:r w:rsidRPr="009B1461">
              <w:rPr>
                <w:rFonts w:cs="Arial"/>
              </w:rPr>
              <w:t>27,23</w:t>
            </w:r>
            <w:r w:rsidRPr="009B1461">
              <w:rPr>
                <w:rFonts w:cs="Arial"/>
                <w:vertAlign w:val="superscript"/>
              </w:rPr>
              <w:t>a</w:t>
            </w:r>
          </w:p>
        </w:tc>
        <w:tc>
          <w:tcPr>
            <w:tcW w:w="834" w:type="pct"/>
            <w:vAlign w:val="center"/>
          </w:tcPr>
          <w:p w:rsidR="00780F36" w:rsidRPr="009B1461" w:rsidRDefault="00780F36" w:rsidP="008F1B37">
            <w:pPr>
              <w:spacing w:before="0" w:after="0"/>
              <w:jc w:val="center"/>
              <w:rPr>
                <w:rFonts w:cs="Arial"/>
              </w:rPr>
            </w:pPr>
            <w:r w:rsidRPr="009B1461">
              <w:rPr>
                <w:rFonts w:cs="Arial"/>
              </w:rPr>
              <w:t>4,77</w:t>
            </w:r>
            <w:r w:rsidRPr="009B1461">
              <w:rPr>
                <w:rFonts w:cs="Arial"/>
                <w:vertAlign w:val="superscript"/>
              </w:rPr>
              <w:t>ab</w:t>
            </w:r>
          </w:p>
        </w:tc>
        <w:tc>
          <w:tcPr>
            <w:tcW w:w="834" w:type="pct"/>
            <w:vAlign w:val="center"/>
          </w:tcPr>
          <w:p w:rsidR="00780F36" w:rsidRPr="009B1461" w:rsidRDefault="00780F36" w:rsidP="008F1B37">
            <w:pPr>
              <w:spacing w:before="0" w:after="0"/>
              <w:jc w:val="center"/>
              <w:rPr>
                <w:rFonts w:cs="Arial"/>
              </w:rPr>
            </w:pPr>
            <w:r w:rsidRPr="009B1461">
              <w:rPr>
                <w:rFonts w:cs="Arial"/>
              </w:rPr>
              <w:t>1,08</w:t>
            </w:r>
            <w:r w:rsidRPr="009B1461">
              <w:rPr>
                <w:rFonts w:cs="Arial"/>
                <w:vertAlign w:val="superscript"/>
              </w:rPr>
              <w:t>b</w:t>
            </w:r>
          </w:p>
        </w:tc>
        <w:tc>
          <w:tcPr>
            <w:tcW w:w="832" w:type="pct"/>
            <w:vAlign w:val="center"/>
          </w:tcPr>
          <w:p w:rsidR="00780F36" w:rsidRPr="009B1461" w:rsidRDefault="00780F36" w:rsidP="008F1B37">
            <w:pPr>
              <w:spacing w:before="0" w:after="0"/>
              <w:jc w:val="center"/>
              <w:rPr>
                <w:rFonts w:cs="Arial"/>
              </w:rPr>
            </w:pPr>
            <w:r w:rsidRPr="009B1461">
              <w:rPr>
                <w:rFonts w:cs="Arial"/>
              </w:rPr>
              <w:t>5,25</w:t>
            </w:r>
            <w:r w:rsidRPr="009B1461">
              <w:rPr>
                <w:rFonts w:cs="Arial"/>
                <w:vertAlign w:val="superscript"/>
              </w:rPr>
              <w:t>c</w:t>
            </w:r>
          </w:p>
        </w:tc>
      </w:tr>
      <w:tr w:rsidR="00780F36" w:rsidRPr="009B1461" w:rsidTr="00780F36">
        <w:tc>
          <w:tcPr>
            <w:tcW w:w="834" w:type="pct"/>
            <w:vMerge/>
            <w:tcBorders>
              <w:bottom w:val="single" w:sz="12" w:space="0" w:color="000000"/>
            </w:tcBorders>
            <w:vAlign w:val="center"/>
          </w:tcPr>
          <w:p w:rsidR="00780F36" w:rsidRPr="009B1461" w:rsidRDefault="00780F36" w:rsidP="008F1B37">
            <w:pPr>
              <w:spacing w:before="0" w:after="0"/>
              <w:jc w:val="center"/>
              <w:rPr>
                <w:rFonts w:cs="Arial"/>
              </w:rPr>
            </w:pPr>
          </w:p>
        </w:tc>
        <w:tc>
          <w:tcPr>
            <w:tcW w:w="911"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b/>
              </w:rPr>
              <w:t>CV±ES</w:t>
            </w:r>
          </w:p>
        </w:tc>
        <w:tc>
          <w:tcPr>
            <w:tcW w:w="755"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8,78±0,21</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11,06±0,04</w:t>
            </w:r>
          </w:p>
        </w:tc>
        <w:tc>
          <w:tcPr>
            <w:tcW w:w="834" w:type="pct"/>
            <w:tcBorders>
              <w:bottom w:val="single" w:sz="12" w:space="0" w:color="000000"/>
            </w:tcBorders>
            <w:vAlign w:val="center"/>
          </w:tcPr>
          <w:p w:rsidR="00780F36" w:rsidRPr="009B1461" w:rsidRDefault="00780F36" w:rsidP="008F1B37">
            <w:pPr>
              <w:spacing w:before="0" w:after="0"/>
              <w:jc w:val="center"/>
              <w:rPr>
                <w:rFonts w:cs="Arial"/>
              </w:rPr>
            </w:pPr>
            <w:r w:rsidRPr="009B1461">
              <w:rPr>
                <w:rFonts w:cs="Arial"/>
              </w:rPr>
              <w:t>21,98±0,02</w:t>
            </w:r>
          </w:p>
        </w:tc>
        <w:tc>
          <w:tcPr>
            <w:tcW w:w="832" w:type="pct"/>
            <w:tcBorders>
              <w:bottom w:val="single" w:sz="12" w:space="0" w:color="000000"/>
            </w:tcBorders>
            <w:vAlign w:val="center"/>
          </w:tcPr>
          <w:p w:rsidR="00780F36" w:rsidRPr="009B1461" w:rsidRDefault="00780F36" w:rsidP="008F1B37">
            <w:pPr>
              <w:spacing w:before="0" w:after="0"/>
              <w:jc w:val="center"/>
              <w:rPr>
                <w:rFonts w:cs="Arial"/>
              </w:rPr>
            </w:pPr>
            <w:r w:rsidRPr="000C2225">
              <w:t>16,78</w:t>
            </w:r>
            <w:r>
              <w:rPr>
                <w:rFonts w:cs="Arial"/>
              </w:rPr>
              <w:t>±</w:t>
            </w:r>
            <w:r w:rsidRPr="009B1461">
              <w:rPr>
                <w:rFonts w:cs="Arial"/>
              </w:rPr>
              <w:t>0,07</w:t>
            </w:r>
          </w:p>
        </w:tc>
      </w:tr>
    </w:tbl>
    <w:p w:rsidR="00780F36" w:rsidRPr="006561C9" w:rsidRDefault="00780F36" w:rsidP="00780F36">
      <w:pPr>
        <w:jc w:val="center"/>
        <w:rPr>
          <w:sz w:val="20"/>
          <w:szCs w:val="20"/>
        </w:rPr>
      </w:pPr>
      <w:r w:rsidRPr="006561C9">
        <w:rPr>
          <w:sz w:val="20"/>
          <w:szCs w:val="20"/>
        </w:rPr>
        <w:t>Letras desiguales en la misma columna para una misma especie indican diferencias significativas según Duncan (p</w:t>
      </w:r>
      <w:r w:rsidRPr="006561C9">
        <w:rPr>
          <w:rFonts w:cs="Arial"/>
          <w:sz w:val="20"/>
          <w:szCs w:val="20"/>
        </w:rPr>
        <w:t>&lt;</w:t>
      </w:r>
      <w:r w:rsidRPr="006561C9">
        <w:rPr>
          <w:sz w:val="20"/>
          <w:szCs w:val="20"/>
        </w:rPr>
        <w:t>0,05)</w:t>
      </w:r>
    </w:p>
    <w:p w:rsidR="00780F36" w:rsidRDefault="00780F36" w:rsidP="00780F36">
      <w:r>
        <w:t xml:space="preserve">Leyenda: FM-E= FitoMas-E; VSD-A= VIUSID </w:t>
      </w:r>
      <w:r w:rsidRPr="00780F36">
        <w:rPr>
          <w:i/>
        </w:rPr>
        <w:t>Agro</w:t>
      </w:r>
    </w:p>
    <w:p w:rsidR="00780F36" w:rsidRDefault="00780F36" w:rsidP="00780F36">
      <w:r>
        <w:t xml:space="preserve">Tanto en </w:t>
      </w:r>
      <w:r w:rsidRPr="00597236">
        <w:rPr>
          <w:i/>
        </w:rPr>
        <w:t xml:space="preserve">Ch. </w:t>
      </w:r>
      <w:proofErr w:type="spellStart"/>
      <w:r w:rsidRPr="00597236">
        <w:rPr>
          <w:i/>
        </w:rPr>
        <w:t>cainito</w:t>
      </w:r>
      <w:proofErr w:type="spellEnd"/>
      <w:r>
        <w:t xml:space="preserve"> como en </w:t>
      </w:r>
      <w:r w:rsidRPr="00597236">
        <w:rPr>
          <w:i/>
        </w:rPr>
        <w:t>S. mahagoni</w:t>
      </w:r>
      <w:r>
        <w:t>, se obt</w:t>
      </w:r>
      <w:r w:rsidR="00FA4CE1">
        <w:t>uvieron</w:t>
      </w:r>
      <w:r>
        <w:t xml:space="preserve"> valores de altura y diámetro que clasifican como calidad alta y media. En el caso de </w:t>
      </w:r>
      <w:r w:rsidRPr="00FA4CE1">
        <w:rPr>
          <w:i/>
        </w:rPr>
        <w:t xml:space="preserve">C. </w:t>
      </w:r>
      <w:proofErr w:type="spellStart"/>
      <w:r w:rsidRPr="00FA4CE1">
        <w:rPr>
          <w:i/>
        </w:rPr>
        <w:t>zeylanicum</w:t>
      </w:r>
      <w:proofErr w:type="spellEnd"/>
      <w:r>
        <w:t>, a pesar de que se constató un efecto significativo del bioproducto,</w:t>
      </w:r>
      <w:r w:rsidR="00FA4CE1">
        <w:t xml:space="preserve"> comparativamente con el testigo,</w:t>
      </w:r>
      <w:r>
        <w:t xml:space="preserve"> los valore</w:t>
      </w:r>
      <w:r w:rsidR="00D948E3">
        <w:t>s clasifican como calidad media, sin embargo, cuando se analizan los resultados en cu</w:t>
      </w:r>
      <w:r w:rsidR="00FA4279">
        <w:t>a</w:t>
      </w:r>
      <w:r w:rsidR="00D948E3">
        <w:t xml:space="preserve">nto al volumen de raíces se puede inferir que esta especie es de las que desarrolla </w:t>
      </w:r>
      <w:r w:rsidR="00FA4279">
        <w:t xml:space="preserve">con prioridad </w:t>
      </w:r>
      <w:r w:rsidR="00D948E3">
        <w:t>el sistema radicular</w:t>
      </w:r>
      <w:r w:rsidR="00FA4279">
        <w:t xml:space="preserve"> </w:t>
      </w:r>
      <w:r w:rsidR="00AB0538">
        <w:t xml:space="preserve">respecto a la parte aérea </w:t>
      </w:r>
      <w:r w:rsidR="00FA4279">
        <w:t>durante la fase de vivero</w:t>
      </w:r>
      <w:r w:rsidR="00EE162E">
        <w:t>. Este comportamiento</w:t>
      </w:r>
      <w:r w:rsidR="00D948E3">
        <w:t xml:space="preserve"> ha sido reportado para </w:t>
      </w:r>
      <w:r w:rsidR="00EE162E">
        <w:t>varias</w:t>
      </w:r>
      <w:r w:rsidR="00D948E3">
        <w:t xml:space="preserve"> especies leñosas</w:t>
      </w:r>
      <w:r w:rsidR="00EE162E">
        <w:t xml:space="preserve">, en tal sentido, </w:t>
      </w:r>
      <w:r w:rsidR="00EE162E" w:rsidRPr="00EE162E">
        <w:t xml:space="preserve">Salto, García y </w:t>
      </w:r>
      <w:proofErr w:type="spellStart"/>
      <w:r w:rsidR="00EE162E" w:rsidRPr="00EE162E">
        <w:t>Harrand</w:t>
      </w:r>
      <w:proofErr w:type="spellEnd"/>
      <w:r w:rsidR="00EE162E" w:rsidRPr="00EE162E">
        <w:t>, (2013)</w:t>
      </w:r>
      <w:r w:rsidR="00EE162E">
        <w:t xml:space="preserve">, </w:t>
      </w:r>
      <w:r w:rsidR="00EE162E" w:rsidRPr="00EE162E">
        <w:t>sostienen la hipótesis de que al</w:t>
      </w:r>
      <w:r w:rsidR="00EE162E">
        <w:t>gunas plantas</w:t>
      </w:r>
      <w:r w:rsidR="00EE162E" w:rsidRPr="00EE162E">
        <w:t xml:space="preserve"> invierten </w:t>
      </w:r>
      <w:r w:rsidR="00EE162E">
        <w:t xml:space="preserve">la </w:t>
      </w:r>
      <w:r w:rsidR="00EE162E" w:rsidRPr="00EE162E">
        <w:t xml:space="preserve">mayor energía </w:t>
      </w:r>
      <w:r w:rsidR="00EE162E">
        <w:t xml:space="preserve">en las fases iniciales del </w:t>
      </w:r>
      <w:proofErr w:type="spellStart"/>
      <w:r w:rsidR="00EE162E">
        <w:t>aviveramiento</w:t>
      </w:r>
      <w:proofErr w:type="spellEnd"/>
      <w:r w:rsidR="00EE162E">
        <w:t xml:space="preserve"> para</w:t>
      </w:r>
      <w:r w:rsidR="00EE162E" w:rsidRPr="00EE162E">
        <w:t xml:space="preserve"> desarrollar </w:t>
      </w:r>
      <w:r w:rsidR="00EE162E">
        <w:t>una</w:t>
      </w:r>
      <w:r w:rsidR="00EE162E" w:rsidRPr="00EE162E">
        <w:t xml:space="preserve"> estructura radic</w:t>
      </w:r>
      <w:r w:rsidR="00EE162E">
        <w:t>u</w:t>
      </w:r>
      <w:r w:rsidR="00EE162E" w:rsidRPr="00EE162E">
        <w:t>l</w:t>
      </w:r>
      <w:r w:rsidR="00EE162E">
        <w:t>ar robusta</w:t>
      </w:r>
      <w:r w:rsidR="00EE162E" w:rsidRPr="00EE162E">
        <w:t xml:space="preserve">, </w:t>
      </w:r>
      <w:r w:rsidR="00EE162E">
        <w:t>se potencia</w:t>
      </w:r>
      <w:r w:rsidR="00EE162E" w:rsidRPr="00EE162E">
        <w:t xml:space="preserve"> la emisión de raíces secundarias</w:t>
      </w:r>
      <w:r w:rsidR="00EE162E">
        <w:t xml:space="preserve"> y</w:t>
      </w:r>
      <w:r w:rsidR="00EE162E" w:rsidRPr="00EE162E">
        <w:t xml:space="preserve"> </w:t>
      </w:r>
      <w:r w:rsidR="00EE162E">
        <w:t xml:space="preserve">se </w:t>
      </w:r>
      <w:r w:rsidR="00EE162E" w:rsidRPr="00EE162E">
        <w:t>retrasa así el crecimiento en altura</w:t>
      </w:r>
      <w:r w:rsidR="00EE162E">
        <w:t xml:space="preserve">. Esta hipótesis se ajusta al comportamiento observado en las plantas de canela, de ahí </w:t>
      </w:r>
      <w:r w:rsidR="00FA4279">
        <w:t>que al momento de la evaluación final la parte radicular mostró un mejor desarrollo</w:t>
      </w:r>
      <w:r w:rsidR="00AB0538">
        <w:t>, lo que sugiere que las plántulas de esta especie requieren de más tiempo en vivero para alcanzar características</w:t>
      </w:r>
      <w:r w:rsidR="00EE162E">
        <w:t xml:space="preserve"> morfológicas más equilibradas</w:t>
      </w:r>
      <w:r w:rsidR="00D948E3">
        <w:t>.</w:t>
      </w:r>
    </w:p>
    <w:p w:rsidR="00780F36" w:rsidRDefault="00780F36" w:rsidP="00780F36">
      <w:r>
        <w:t xml:space="preserve">La especie que mejor respondió a la acción de los </w:t>
      </w:r>
      <w:r w:rsidR="00783C69">
        <w:t>bioproductos en</w:t>
      </w:r>
      <w:r>
        <w:t xml:space="preserve"> términos de relación entre la parte aérea y radicular fue </w:t>
      </w:r>
      <w:r w:rsidRPr="00FA4CE1">
        <w:rPr>
          <w:i/>
        </w:rPr>
        <w:t xml:space="preserve">Ch. </w:t>
      </w:r>
      <w:proofErr w:type="spellStart"/>
      <w:r w:rsidRPr="00FA4CE1">
        <w:rPr>
          <w:i/>
        </w:rPr>
        <w:t>cainito</w:t>
      </w:r>
      <w:proofErr w:type="spellEnd"/>
      <w:r>
        <w:t>, con valores que clasifican en el rango de calidad alta (</w:t>
      </w:r>
      <w:r>
        <w:rPr>
          <w:rFonts w:cs="Arial"/>
        </w:rPr>
        <w:t>≤</w:t>
      </w:r>
      <w:r>
        <w:t>2,5)</w:t>
      </w:r>
      <w:r w:rsidR="00783C69">
        <w:t xml:space="preserve"> con la aplicación de </w:t>
      </w:r>
      <w:r w:rsidR="00783C69">
        <w:t>FitoMas-E</w:t>
      </w:r>
      <w:r>
        <w:t xml:space="preserve">. En el resto de las especies y bioproductos los resultados se corresponden con calidad media </w:t>
      </w:r>
      <w:r w:rsidR="00FA4CE1">
        <w:t xml:space="preserve">(canela) </w:t>
      </w:r>
      <w:r>
        <w:t>a baja</w:t>
      </w:r>
      <w:r w:rsidR="00FA4CE1">
        <w:t xml:space="preserve"> (caoba antillana)</w:t>
      </w:r>
      <w:r>
        <w:t>.</w:t>
      </w:r>
    </w:p>
    <w:p w:rsidR="00F42CD9" w:rsidRDefault="00780F36" w:rsidP="00780F36">
      <w:r>
        <w:t xml:space="preserve">El comportamiento de los atributos morfológicos no </w:t>
      </w:r>
      <w:r w:rsidR="00FA4CE1">
        <w:t>está condicionado</w:t>
      </w:r>
      <w:r>
        <w:t xml:space="preserve"> por el efecto de un solo factor, sino que obedece a un conjunto de ellos, como pueden ser el sustrato, el tipo de contenedor y el régimen de riego que se aplique. En </w:t>
      </w:r>
      <w:r w:rsidR="00FA4CE1">
        <w:t xml:space="preserve">este trabajo, se considera que los factores de mayor incidencia </w:t>
      </w:r>
      <w:r w:rsidR="00F42CD9">
        <w:t xml:space="preserve">en los resultados obtenidos para la relación PA/PR </w:t>
      </w:r>
      <w:r w:rsidR="00FA4CE1">
        <w:lastRenderedPageBreak/>
        <w:t xml:space="preserve">fueron el tipo de contenedor empleado y </w:t>
      </w:r>
      <w:r w:rsidR="00F42CD9">
        <w:t>el hecho de que el bioproducto se aplic</w:t>
      </w:r>
      <w:r w:rsidR="00AB0538">
        <w:t>ó</w:t>
      </w:r>
      <w:r w:rsidR="00F42CD9">
        <w:t xml:space="preserve"> foliarmente.</w:t>
      </w:r>
    </w:p>
    <w:p w:rsidR="00A17386" w:rsidRDefault="00F42CD9" w:rsidP="00780F36">
      <w:r>
        <w:t xml:space="preserve">En </w:t>
      </w:r>
      <w:r w:rsidRPr="00F42CD9">
        <w:rPr>
          <w:i/>
        </w:rPr>
        <w:t xml:space="preserve">Ch. </w:t>
      </w:r>
      <w:proofErr w:type="spellStart"/>
      <w:r w:rsidRPr="00F42CD9">
        <w:rPr>
          <w:i/>
        </w:rPr>
        <w:t>cainito</w:t>
      </w:r>
      <w:proofErr w:type="spellEnd"/>
      <w:r>
        <w:t xml:space="preserve"> y </w:t>
      </w:r>
      <w:r w:rsidRPr="00F42CD9">
        <w:rPr>
          <w:i/>
        </w:rPr>
        <w:t xml:space="preserve">C. </w:t>
      </w:r>
      <w:proofErr w:type="spellStart"/>
      <w:r w:rsidRPr="00F42CD9">
        <w:rPr>
          <w:i/>
        </w:rPr>
        <w:t>zeylanicum</w:t>
      </w:r>
      <w:proofErr w:type="spellEnd"/>
      <w:r>
        <w:t>, el empleo de bolsas de polietileno favorec</w:t>
      </w:r>
      <w:r w:rsidR="00FA4279">
        <w:t>ió</w:t>
      </w:r>
      <w:r>
        <w:t xml:space="preserve"> un mejor desarrollo del sistema radicular (más profuso), lo que produce un mejor equilibrio entre la parte fotosintetizante y la absorbente; sin embargo, en </w:t>
      </w:r>
      <w:r w:rsidR="00780F36" w:rsidRPr="00FA4CE1">
        <w:rPr>
          <w:i/>
        </w:rPr>
        <w:t>S. mahagoni</w:t>
      </w:r>
      <w:r w:rsidR="00780F36">
        <w:t>, al emplear bandejas multiceldas de 48 cavidades, la densidad de plantas es mucho mayor que cuando se emplean bolsas de polietileno, por lo que las plantas pueden presentar una tendencia al ahilamiento</w:t>
      </w:r>
      <w:r w:rsidR="00A17386">
        <w:t xml:space="preserve"> (incremento desproporcionado de la altura)</w:t>
      </w:r>
      <w:r w:rsidR="00780F36">
        <w:t xml:space="preserve">, que unido al efecto del bioproducto, provoca </w:t>
      </w:r>
      <w:r w:rsidR="00A17386">
        <w:t>que</w:t>
      </w:r>
      <w:r w:rsidR="00780F36">
        <w:t xml:space="preserve"> la </w:t>
      </w:r>
      <w:r w:rsidR="00FA4CE1">
        <w:t>parte aérea</w:t>
      </w:r>
      <w:r w:rsidR="00780F36">
        <w:t xml:space="preserve"> </w:t>
      </w:r>
      <w:r w:rsidR="00A17386">
        <w:t>se desarrolle más rápido que</w:t>
      </w:r>
      <w:r w:rsidR="00FA4CE1">
        <w:t xml:space="preserve"> </w:t>
      </w:r>
      <w:r w:rsidR="00780F36">
        <w:t>l</w:t>
      </w:r>
      <w:r w:rsidR="00FA4CE1">
        <w:t>a</w:t>
      </w:r>
      <w:r w:rsidR="00780F36">
        <w:t xml:space="preserve"> </w:t>
      </w:r>
      <w:r w:rsidR="00FA4CE1">
        <w:t>radicular</w:t>
      </w:r>
      <w:r w:rsidR="00780F36">
        <w:t>, lo que conlleva un</w:t>
      </w:r>
      <w:r w:rsidR="00FA4CE1">
        <w:t xml:space="preserve">a mayor producción de biomasa en </w:t>
      </w:r>
      <w:r>
        <w:t>la</w:t>
      </w:r>
      <w:r w:rsidR="00FA4CE1">
        <w:t xml:space="preserve"> parte </w:t>
      </w:r>
      <w:r>
        <w:t xml:space="preserve">fotosintetizante </w:t>
      </w:r>
      <w:r w:rsidR="00FA4CE1">
        <w:t>y trae como consecuencia que el</w:t>
      </w:r>
      <w:r w:rsidR="00780F36">
        <w:t xml:space="preserve"> valor de la relación PA/PR</w:t>
      </w:r>
      <w:r w:rsidR="00FA4CE1">
        <w:t xml:space="preserve"> se incremente considerablemente</w:t>
      </w:r>
      <w:r w:rsidR="00780F36">
        <w:t>.</w:t>
      </w:r>
    </w:p>
    <w:p w:rsidR="00780F36" w:rsidRDefault="00A17386" w:rsidP="00FA4279">
      <w:r>
        <w:t xml:space="preserve">Según </w:t>
      </w:r>
      <w:r w:rsidR="00FA4279">
        <w:t xml:space="preserve">Falcón </w:t>
      </w:r>
      <w:r w:rsidR="00FA4279" w:rsidRPr="00FA4279">
        <w:rPr>
          <w:i/>
        </w:rPr>
        <w:t>et al</w:t>
      </w:r>
      <w:r w:rsidR="00FA4279">
        <w:t>., (2015)</w:t>
      </w:r>
      <w:r>
        <w:t xml:space="preserve"> la importancia del equilibrio entre ambas partes radica en </w:t>
      </w:r>
      <w:r w:rsidR="00FA4279">
        <w:t xml:space="preserve">la posibilidad de que las plantas sean llevadas a campo en mejores condiciones de adaptabilidad, y puedan superar determinado estrés al llegar al sitio, partiendo de que en muchos casos las labores de preparación de suelo para las especies forestales no son las más idóneas. </w:t>
      </w:r>
      <w:r w:rsidR="00780F36">
        <w:t xml:space="preserve"> </w:t>
      </w:r>
    </w:p>
    <w:p w:rsidR="00E572BA" w:rsidRDefault="00E572BA" w:rsidP="00E572BA">
      <w:r>
        <w:t>Un mejoramiento significativo de los atributos morfológicos en plantas de cedro (</w:t>
      </w:r>
      <w:proofErr w:type="spellStart"/>
      <w:r w:rsidRPr="00E572BA">
        <w:rPr>
          <w:i/>
        </w:rPr>
        <w:t>Cedrela</w:t>
      </w:r>
      <w:proofErr w:type="spellEnd"/>
      <w:r w:rsidRPr="00E572BA">
        <w:rPr>
          <w:i/>
        </w:rPr>
        <w:t xml:space="preserve"> </w:t>
      </w:r>
      <w:proofErr w:type="spellStart"/>
      <w:r w:rsidRPr="00E572BA">
        <w:rPr>
          <w:i/>
        </w:rPr>
        <w:t>odorata</w:t>
      </w:r>
      <w:proofErr w:type="spellEnd"/>
      <w:r>
        <w:t xml:space="preserve"> L.) y caoba antillana (</w:t>
      </w:r>
      <w:r w:rsidRPr="00E572BA">
        <w:rPr>
          <w:i/>
        </w:rPr>
        <w:t>Swietenia mahagoni</w:t>
      </w:r>
      <w:r>
        <w:t xml:space="preserve"> L., Jacq.) constataron respectivamente Mendoza, (2012) y Bango </w:t>
      </w:r>
      <w:r w:rsidRPr="00E572BA">
        <w:rPr>
          <w:i/>
        </w:rPr>
        <w:t>et al</w:t>
      </w:r>
      <w:r>
        <w:t>., (2013), al combinar la aplicación de FitoMas-E con la inoculación de micorrizas en fase de vivero.</w:t>
      </w:r>
    </w:p>
    <w:p w:rsidR="00780F36" w:rsidRDefault="00780F36" w:rsidP="00780F36">
      <w:r>
        <w:t>Tabla 6. Efecto de los bioproductos sobre los índices morfológicos de calidad en las tres especies estudiadas</w:t>
      </w:r>
    </w:p>
    <w:tbl>
      <w:tblPr>
        <w:tblStyle w:val="Tablanormal2"/>
        <w:tblW w:w="5000" w:type="pct"/>
        <w:tblLook w:val="0620" w:firstRow="1" w:lastRow="0" w:firstColumn="0" w:lastColumn="0" w:noHBand="1" w:noVBand="1"/>
      </w:tblPr>
      <w:tblGrid>
        <w:gridCol w:w="1882"/>
        <w:gridCol w:w="2056"/>
        <w:gridCol w:w="1704"/>
        <w:gridCol w:w="1881"/>
        <w:gridCol w:w="1881"/>
      </w:tblGrid>
      <w:tr w:rsidR="006041CC" w:rsidRPr="009B1461" w:rsidTr="008F1B37">
        <w:trPr>
          <w:cnfStyle w:val="100000000000" w:firstRow="1" w:lastRow="0" w:firstColumn="0" w:lastColumn="0" w:oddVBand="0" w:evenVBand="0" w:oddHBand="0" w:evenHBand="0" w:firstRowFirstColumn="0" w:firstRowLastColumn="0" w:lastRowFirstColumn="0" w:lastRowLastColumn="0"/>
        </w:trPr>
        <w:tc>
          <w:tcPr>
            <w:tcW w:w="1001" w:type="pct"/>
            <w:tcBorders>
              <w:top w:val="single" w:sz="12" w:space="0" w:color="000000"/>
              <w:bottom w:val="single" w:sz="12" w:space="0" w:color="000000"/>
            </w:tcBorders>
            <w:vAlign w:val="center"/>
          </w:tcPr>
          <w:p w:rsidR="006041CC" w:rsidRPr="009B1461" w:rsidRDefault="006041CC" w:rsidP="008F1B37">
            <w:pPr>
              <w:spacing w:before="0" w:after="0"/>
              <w:jc w:val="center"/>
              <w:rPr>
                <w:rFonts w:cs="Arial"/>
                <w:b w:val="0"/>
              </w:rPr>
            </w:pPr>
            <w:r w:rsidRPr="009B1461">
              <w:rPr>
                <w:rFonts w:cs="Arial"/>
              </w:rPr>
              <w:t>Especie</w:t>
            </w:r>
          </w:p>
        </w:tc>
        <w:tc>
          <w:tcPr>
            <w:tcW w:w="1093" w:type="pct"/>
            <w:tcBorders>
              <w:top w:val="single" w:sz="12" w:space="0" w:color="000000"/>
              <w:bottom w:val="single" w:sz="12" w:space="0" w:color="000000"/>
            </w:tcBorders>
          </w:tcPr>
          <w:p w:rsidR="006041CC" w:rsidRPr="009B1461" w:rsidRDefault="006041CC" w:rsidP="008F1B37">
            <w:pPr>
              <w:spacing w:before="0" w:after="0"/>
              <w:jc w:val="center"/>
              <w:rPr>
                <w:rFonts w:cs="Arial"/>
                <w:b w:val="0"/>
              </w:rPr>
            </w:pPr>
            <w:proofErr w:type="spellStart"/>
            <w:r w:rsidRPr="009B1461">
              <w:rPr>
                <w:rFonts w:cs="Arial"/>
              </w:rPr>
              <w:t>Tratam</w:t>
            </w:r>
            <w:proofErr w:type="spellEnd"/>
            <w:r>
              <w:rPr>
                <w:rFonts w:cs="Arial"/>
              </w:rPr>
              <w:t>.</w:t>
            </w:r>
          </w:p>
        </w:tc>
        <w:tc>
          <w:tcPr>
            <w:tcW w:w="906" w:type="pct"/>
            <w:tcBorders>
              <w:top w:val="single" w:sz="12" w:space="0" w:color="000000"/>
              <w:bottom w:val="single" w:sz="12" w:space="0" w:color="000000"/>
            </w:tcBorders>
            <w:vAlign w:val="center"/>
          </w:tcPr>
          <w:p w:rsidR="006041CC" w:rsidRPr="009B1461" w:rsidRDefault="006041CC" w:rsidP="008F1B37">
            <w:pPr>
              <w:spacing w:before="0" w:after="0"/>
              <w:jc w:val="center"/>
              <w:rPr>
                <w:rFonts w:cs="Arial"/>
                <w:b w:val="0"/>
              </w:rPr>
            </w:pPr>
            <w:r w:rsidRPr="009B1461">
              <w:rPr>
                <w:rFonts w:cs="Arial"/>
              </w:rPr>
              <w:t>H</w:t>
            </w:r>
            <w:r>
              <w:rPr>
                <w:rFonts w:cs="Arial"/>
              </w:rPr>
              <w:t>/D</w:t>
            </w:r>
          </w:p>
        </w:tc>
        <w:tc>
          <w:tcPr>
            <w:tcW w:w="1000" w:type="pct"/>
            <w:tcBorders>
              <w:top w:val="single" w:sz="12" w:space="0" w:color="000000"/>
              <w:bottom w:val="single" w:sz="12" w:space="0" w:color="000000"/>
            </w:tcBorders>
            <w:vAlign w:val="center"/>
          </w:tcPr>
          <w:p w:rsidR="006041CC" w:rsidRPr="009B1461" w:rsidRDefault="006041CC" w:rsidP="008F1B37">
            <w:pPr>
              <w:spacing w:before="0" w:after="0"/>
              <w:jc w:val="center"/>
              <w:rPr>
                <w:rFonts w:cs="Arial"/>
                <w:b w:val="0"/>
              </w:rPr>
            </w:pPr>
            <w:r>
              <w:rPr>
                <w:rFonts w:cs="Arial"/>
              </w:rPr>
              <w:t>QI</w:t>
            </w:r>
          </w:p>
        </w:tc>
        <w:tc>
          <w:tcPr>
            <w:tcW w:w="1000" w:type="pct"/>
            <w:tcBorders>
              <w:top w:val="single" w:sz="12" w:space="0" w:color="000000"/>
              <w:bottom w:val="single" w:sz="12" w:space="0" w:color="000000"/>
            </w:tcBorders>
            <w:vAlign w:val="center"/>
          </w:tcPr>
          <w:p w:rsidR="006041CC" w:rsidRPr="009B1461" w:rsidRDefault="006041CC" w:rsidP="008F1B37">
            <w:pPr>
              <w:spacing w:before="0" w:after="0"/>
              <w:jc w:val="center"/>
              <w:rPr>
                <w:rFonts w:cs="Arial"/>
                <w:b w:val="0"/>
              </w:rPr>
            </w:pPr>
            <w:r>
              <w:rPr>
                <w:rFonts w:cs="Arial"/>
              </w:rPr>
              <w:t>IL</w:t>
            </w:r>
          </w:p>
        </w:tc>
      </w:tr>
      <w:tr w:rsidR="006041CC" w:rsidRPr="009B1461" w:rsidTr="008F1B37">
        <w:tc>
          <w:tcPr>
            <w:tcW w:w="1001" w:type="pct"/>
            <w:vMerge w:val="restart"/>
            <w:tcBorders>
              <w:top w:val="single" w:sz="12" w:space="0" w:color="000000"/>
            </w:tcBorders>
            <w:vAlign w:val="center"/>
          </w:tcPr>
          <w:p w:rsidR="006041CC" w:rsidRPr="009B1461" w:rsidRDefault="006041CC" w:rsidP="008F1B37">
            <w:pPr>
              <w:spacing w:before="0" w:after="0"/>
              <w:jc w:val="center"/>
              <w:rPr>
                <w:rFonts w:cs="Arial"/>
                <w:i/>
              </w:rPr>
            </w:pPr>
            <w:r w:rsidRPr="009B1461">
              <w:rPr>
                <w:rFonts w:cs="Arial"/>
                <w:i/>
              </w:rPr>
              <w:t xml:space="preserve">Ch. </w:t>
            </w:r>
            <w:proofErr w:type="spellStart"/>
            <w:r w:rsidRPr="009B1461">
              <w:rPr>
                <w:rFonts w:cs="Arial"/>
                <w:i/>
              </w:rPr>
              <w:t>cainito</w:t>
            </w:r>
            <w:proofErr w:type="spellEnd"/>
          </w:p>
        </w:tc>
        <w:tc>
          <w:tcPr>
            <w:tcW w:w="1093" w:type="pct"/>
            <w:tcBorders>
              <w:top w:val="single" w:sz="12" w:space="0" w:color="000000"/>
            </w:tcBorders>
          </w:tcPr>
          <w:p w:rsidR="006041CC" w:rsidRPr="009B1461" w:rsidRDefault="006041CC" w:rsidP="008F1B37">
            <w:pPr>
              <w:spacing w:before="0" w:after="0"/>
              <w:jc w:val="center"/>
              <w:rPr>
                <w:rFonts w:cs="Arial"/>
              </w:rPr>
            </w:pPr>
            <w:r w:rsidRPr="009B1461">
              <w:rPr>
                <w:rFonts w:cs="Arial"/>
              </w:rPr>
              <w:t>Testigo</w:t>
            </w:r>
          </w:p>
        </w:tc>
        <w:tc>
          <w:tcPr>
            <w:tcW w:w="906" w:type="pct"/>
            <w:tcBorders>
              <w:top w:val="single" w:sz="12" w:space="0" w:color="000000"/>
            </w:tcBorders>
            <w:vAlign w:val="center"/>
          </w:tcPr>
          <w:p w:rsidR="006041CC" w:rsidRPr="00C42CD1" w:rsidRDefault="006041CC" w:rsidP="008F1B37">
            <w:pPr>
              <w:spacing w:before="0" w:after="0"/>
              <w:jc w:val="center"/>
              <w:rPr>
                <w:rFonts w:cs="Arial"/>
              </w:rPr>
            </w:pPr>
            <w:r>
              <w:rPr>
                <w:rFonts w:cs="Arial"/>
              </w:rPr>
              <w:t>5.83</w:t>
            </w:r>
            <w:r w:rsidRPr="000D6ECB">
              <w:rPr>
                <w:rFonts w:cs="Arial"/>
                <w:vertAlign w:val="superscript"/>
              </w:rPr>
              <w:t>d</w:t>
            </w:r>
          </w:p>
        </w:tc>
        <w:tc>
          <w:tcPr>
            <w:tcW w:w="1000" w:type="pct"/>
            <w:tcBorders>
              <w:top w:val="single" w:sz="12" w:space="0" w:color="000000"/>
            </w:tcBorders>
            <w:vAlign w:val="center"/>
          </w:tcPr>
          <w:p w:rsidR="006041CC" w:rsidRPr="00C42CD1" w:rsidRDefault="006041CC" w:rsidP="008F1B37">
            <w:pPr>
              <w:spacing w:before="0" w:after="0"/>
              <w:jc w:val="center"/>
              <w:rPr>
                <w:rFonts w:cs="Arial"/>
              </w:rPr>
            </w:pPr>
            <w:r w:rsidRPr="00C42CD1">
              <w:rPr>
                <w:rFonts w:cs="Arial"/>
              </w:rPr>
              <w:t>1.48</w:t>
            </w:r>
            <w:r w:rsidRPr="000D6ECB">
              <w:rPr>
                <w:rFonts w:cs="Arial"/>
                <w:vertAlign w:val="superscript"/>
              </w:rPr>
              <w:t>e</w:t>
            </w:r>
          </w:p>
        </w:tc>
        <w:tc>
          <w:tcPr>
            <w:tcW w:w="1000" w:type="pct"/>
            <w:tcBorders>
              <w:top w:val="single" w:sz="12" w:space="0" w:color="000000"/>
            </w:tcBorders>
            <w:vAlign w:val="center"/>
          </w:tcPr>
          <w:p w:rsidR="006041CC" w:rsidRPr="00C42CD1" w:rsidRDefault="006041CC" w:rsidP="008F1B37">
            <w:pPr>
              <w:spacing w:before="0" w:after="0"/>
              <w:jc w:val="center"/>
              <w:rPr>
                <w:rFonts w:cs="Arial"/>
              </w:rPr>
            </w:pPr>
            <w:r w:rsidRPr="00C42CD1">
              <w:rPr>
                <w:rFonts w:cs="Arial"/>
              </w:rPr>
              <w:t>37.39ª</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FM-E (1%)</w:t>
            </w:r>
          </w:p>
        </w:tc>
        <w:tc>
          <w:tcPr>
            <w:tcW w:w="906" w:type="pct"/>
            <w:vAlign w:val="center"/>
          </w:tcPr>
          <w:p w:rsidR="006041CC" w:rsidRPr="00C42CD1" w:rsidRDefault="006041CC" w:rsidP="008F1B37">
            <w:pPr>
              <w:spacing w:before="0" w:after="0"/>
              <w:jc w:val="center"/>
              <w:rPr>
                <w:rFonts w:cs="Arial"/>
              </w:rPr>
            </w:pPr>
            <w:r w:rsidRPr="00C42CD1">
              <w:rPr>
                <w:rFonts w:cs="Arial"/>
              </w:rPr>
              <w:t>5.26</w:t>
            </w:r>
            <w:r w:rsidRPr="000D6ECB">
              <w:rPr>
                <w:rFonts w:cs="Arial"/>
                <w:vertAlign w:val="superscript"/>
              </w:rPr>
              <w:t>c</w:t>
            </w:r>
          </w:p>
        </w:tc>
        <w:tc>
          <w:tcPr>
            <w:tcW w:w="1000" w:type="pct"/>
            <w:vAlign w:val="center"/>
          </w:tcPr>
          <w:p w:rsidR="006041CC" w:rsidRPr="00C42CD1" w:rsidRDefault="006041CC" w:rsidP="008F1B37">
            <w:pPr>
              <w:spacing w:before="0" w:after="0"/>
              <w:jc w:val="center"/>
              <w:rPr>
                <w:rFonts w:cs="Arial"/>
              </w:rPr>
            </w:pPr>
            <w:r w:rsidRPr="00C42CD1">
              <w:rPr>
                <w:rFonts w:cs="Arial"/>
              </w:rPr>
              <w:t>1.82</w:t>
            </w:r>
            <w:r w:rsidRPr="0077299C">
              <w:rPr>
                <w:rFonts w:cs="Arial"/>
                <w:vertAlign w:val="superscript"/>
              </w:rPr>
              <w:t>d</w:t>
            </w:r>
          </w:p>
        </w:tc>
        <w:tc>
          <w:tcPr>
            <w:tcW w:w="1000" w:type="pct"/>
            <w:vAlign w:val="center"/>
          </w:tcPr>
          <w:p w:rsidR="006041CC" w:rsidRPr="00C42CD1" w:rsidRDefault="006041CC" w:rsidP="008F1B37">
            <w:pPr>
              <w:spacing w:before="0" w:after="0"/>
              <w:jc w:val="center"/>
              <w:rPr>
                <w:rFonts w:cs="Arial"/>
              </w:rPr>
            </w:pPr>
            <w:r w:rsidRPr="00C42CD1">
              <w:rPr>
                <w:rFonts w:cs="Arial"/>
              </w:rPr>
              <w:t>34.83</w:t>
            </w:r>
            <w:r w:rsidRPr="000D6ECB">
              <w:rPr>
                <w:rFonts w:cs="Arial"/>
                <w:vertAlign w:val="superscript"/>
              </w:rPr>
              <w:t>bc</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FM-E (2%)</w:t>
            </w:r>
          </w:p>
        </w:tc>
        <w:tc>
          <w:tcPr>
            <w:tcW w:w="906" w:type="pct"/>
            <w:vAlign w:val="center"/>
          </w:tcPr>
          <w:p w:rsidR="006041CC" w:rsidRPr="00C42CD1" w:rsidRDefault="006041CC" w:rsidP="008F1B37">
            <w:pPr>
              <w:spacing w:before="0" w:after="0"/>
              <w:jc w:val="center"/>
              <w:rPr>
                <w:rFonts w:cs="Arial"/>
              </w:rPr>
            </w:pPr>
            <w:r>
              <w:rPr>
                <w:rFonts w:cs="Arial"/>
              </w:rPr>
              <w:t>4.39</w:t>
            </w:r>
            <w:r w:rsidRPr="0077299C">
              <w:rPr>
                <w:rFonts w:cs="Arial"/>
                <w:vertAlign w:val="superscript"/>
              </w:rPr>
              <w:t>b</w:t>
            </w:r>
          </w:p>
        </w:tc>
        <w:tc>
          <w:tcPr>
            <w:tcW w:w="1000" w:type="pct"/>
            <w:vAlign w:val="center"/>
          </w:tcPr>
          <w:p w:rsidR="006041CC" w:rsidRPr="00C42CD1" w:rsidRDefault="006041CC" w:rsidP="008F1B37">
            <w:pPr>
              <w:spacing w:before="0" w:after="0"/>
              <w:jc w:val="center"/>
              <w:rPr>
                <w:rFonts w:cs="Arial"/>
              </w:rPr>
            </w:pPr>
            <w:r w:rsidRPr="00C42CD1">
              <w:rPr>
                <w:rFonts w:cs="Arial"/>
              </w:rPr>
              <w:t>2.02</w:t>
            </w:r>
            <w:r w:rsidRPr="0077299C">
              <w:rPr>
                <w:rFonts w:cs="Arial"/>
                <w:vertAlign w:val="superscript"/>
              </w:rPr>
              <w:t>c</w:t>
            </w:r>
          </w:p>
        </w:tc>
        <w:tc>
          <w:tcPr>
            <w:tcW w:w="1000" w:type="pct"/>
            <w:vAlign w:val="center"/>
          </w:tcPr>
          <w:p w:rsidR="006041CC" w:rsidRPr="00C42CD1" w:rsidRDefault="006041CC" w:rsidP="008F1B37">
            <w:pPr>
              <w:spacing w:before="0" w:after="0"/>
              <w:jc w:val="center"/>
              <w:rPr>
                <w:rFonts w:cs="Arial"/>
              </w:rPr>
            </w:pPr>
            <w:r w:rsidRPr="00C42CD1">
              <w:rPr>
                <w:rFonts w:cs="Arial"/>
              </w:rPr>
              <w:t>33.55</w:t>
            </w:r>
            <w:r w:rsidRPr="000D6ECB">
              <w:rPr>
                <w:rFonts w:cs="Arial"/>
                <w:vertAlign w:val="superscript"/>
              </w:rPr>
              <w:t>cd</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FM-E (3%)</w:t>
            </w:r>
          </w:p>
        </w:tc>
        <w:tc>
          <w:tcPr>
            <w:tcW w:w="906" w:type="pct"/>
            <w:vAlign w:val="center"/>
          </w:tcPr>
          <w:p w:rsidR="006041CC" w:rsidRPr="00C42CD1" w:rsidRDefault="006041CC" w:rsidP="008F1B37">
            <w:pPr>
              <w:spacing w:before="0" w:after="0"/>
              <w:jc w:val="center"/>
              <w:rPr>
                <w:rFonts w:cs="Arial"/>
              </w:rPr>
            </w:pPr>
            <w:r>
              <w:rPr>
                <w:rFonts w:cs="Arial"/>
              </w:rPr>
              <w:t>5.59</w:t>
            </w:r>
            <w:r w:rsidRPr="0077299C">
              <w:rPr>
                <w:rFonts w:cs="Arial"/>
                <w:vertAlign w:val="superscript"/>
              </w:rPr>
              <w:t>cd</w:t>
            </w:r>
          </w:p>
        </w:tc>
        <w:tc>
          <w:tcPr>
            <w:tcW w:w="1000" w:type="pct"/>
            <w:vAlign w:val="center"/>
          </w:tcPr>
          <w:p w:rsidR="006041CC" w:rsidRPr="00C42CD1" w:rsidRDefault="006041CC" w:rsidP="008F1B37">
            <w:pPr>
              <w:spacing w:before="0" w:after="0"/>
              <w:jc w:val="center"/>
              <w:rPr>
                <w:rFonts w:cs="Arial"/>
              </w:rPr>
            </w:pPr>
            <w:r w:rsidRPr="00C42CD1">
              <w:rPr>
                <w:rFonts w:cs="Arial"/>
              </w:rPr>
              <w:t>1.94</w:t>
            </w:r>
            <w:r w:rsidRPr="0077299C">
              <w:rPr>
                <w:rFonts w:cs="Arial"/>
                <w:vertAlign w:val="superscript"/>
              </w:rPr>
              <w:t>c</w:t>
            </w:r>
          </w:p>
        </w:tc>
        <w:tc>
          <w:tcPr>
            <w:tcW w:w="1000" w:type="pct"/>
            <w:vAlign w:val="center"/>
          </w:tcPr>
          <w:p w:rsidR="006041CC" w:rsidRPr="00C42CD1" w:rsidRDefault="006041CC" w:rsidP="008F1B37">
            <w:pPr>
              <w:spacing w:before="0" w:after="0"/>
              <w:jc w:val="center"/>
              <w:rPr>
                <w:rFonts w:cs="Arial"/>
              </w:rPr>
            </w:pPr>
            <w:r w:rsidRPr="00C42CD1">
              <w:rPr>
                <w:rFonts w:cs="Arial"/>
              </w:rPr>
              <w:t>36.87ª</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Bayfolán (0,1%)</w:t>
            </w:r>
          </w:p>
        </w:tc>
        <w:tc>
          <w:tcPr>
            <w:tcW w:w="906" w:type="pct"/>
            <w:vAlign w:val="center"/>
          </w:tcPr>
          <w:p w:rsidR="006041CC" w:rsidRPr="00C42CD1" w:rsidRDefault="006041CC" w:rsidP="008F1B37">
            <w:pPr>
              <w:spacing w:before="0" w:after="0"/>
              <w:jc w:val="center"/>
              <w:rPr>
                <w:rFonts w:cs="Arial"/>
              </w:rPr>
            </w:pPr>
            <w:r>
              <w:rPr>
                <w:rFonts w:cs="Arial"/>
              </w:rPr>
              <w:t>7.44</w:t>
            </w:r>
            <w:r w:rsidRPr="0077299C">
              <w:rPr>
                <w:rFonts w:cs="Arial"/>
                <w:vertAlign w:val="superscript"/>
              </w:rPr>
              <w:t>e</w:t>
            </w:r>
          </w:p>
        </w:tc>
        <w:tc>
          <w:tcPr>
            <w:tcW w:w="1000" w:type="pct"/>
            <w:vAlign w:val="center"/>
          </w:tcPr>
          <w:p w:rsidR="006041CC" w:rsidRPr="00C42CD1" w:rsidRDefault="006041CC" w:rsidP="008F1B37">
            <w:pPr>
              <w:spacing w:before="0" w:after="0"/>
              <w:jc w:val="center"/>
              <w:rPr>
                <w:rFonts w:cs="Arial"/>
              </w:rPr>
            </w:pPr>
            <w:r>
              <w:rPr>
                <w:rFonts w:cs="Arial"/>
              </w:rPr>
              <w:t>0.36</w:t>
            </w:r>
            <w:r w:rsidRPr="0077299C">
              <w:rPr>
                <w:rFonts w:cs="Arial"/>
                <w:vertAlign w:val="superscript"/>
              </w:rPr>
              <w:t>f</w:t>
            </w:r>
          </w:p>
        </w:tc>
        <w:tc>
          <w:tcPr>
            <w:tcW w:w="1000" w:type="pct"/>
            <w:vAlign w:val="center"/>
          </w:tcPr>
          <w:p w:rsidR="006041CC" w:rsidRPr="00C42CD1" w:rsidRDefault="006041CC" w:rsidP="008F1B37">
            <w:pPr>
              <w:spacing w:before="0" w:after="0"/>
              <w:jc w:val="center"/>
              <w:rPr>
                <w:rFonts w:cs="Arial"/>
              </w:rPr>
            </w:pPr>
            <w:r w:rsidRPr="00C42CD1">
              <w:rPr>
                <w:rFonts w:cs="Arial"/>
              </w:rPr>
              <w:t>32.78</w:t>
            </w:r>
            <w:r w:rsidRPr="000D6ECB">
              <w:rPr>
                <w:rFonts w:cs="Arial"/>
                <w:vertAlign w:val="superscript"/>
              </w:rPr>
              <w:t>d</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Bayfolán (0,2%)</w:t>
            </w:r>
          </w:p>
        </w:tc>
        <w:tc>
          <w:tcPr>
            <w:tcW w:w="906" w:type="pct"/>
            <w:vAlign w:val="center"/>
          </w:tcPr>
          <w:p w:rsidR="006041CC" w:rsidRPr="00C42CD1" w:rsidRDefault="006041CC" w:rsidP="008F1B37">
            <w:pPr>
              <w:spacing w:before="0" w:after="0"/>
              <w:jc w:val="center"/>
              <w:rPr>
                <w:rFonts w:cs="Arial"/>
              </w:rPr>
            </w:pPr>
            <w:r w:rsidRPr="00C42CD1">
              <w:rPr>
                <w:rFonts w:cs="Arial"/>
              </w:rPr>
              <w:t>3.97</w:t>
            </w:r>
            <w:r w:rsidRPr="0077299C">
              <w:rPr>
                <w:rFonts w:cs="Arial"/>
                <w:vertAlign w:val="superscript"/>
              </w:rPr>
              <w:t>a</w:t>
            </w:r>
          </w:p>
        </w:tc>
        <w:tc>
          <w:tcPr>
            <w:tcW w:w="1000" w:type="pct"/>
            <w:vAlign w:val="center"/>
          </w:tcPr>
          <w:p w:rsidR="006041CC" w:rsidRPr="00C42CD1" w:rsidRDefault="006041CC" w:rsidP="008F1B37">
            <w:pPr>
              <w:spacing w:before="0" w:after="0"/>
              <w:jc w:val="center"/>
              <w:rPr>
                <w:rFonts w:cs="Arial"/>
              </w:rPr>
            </w:pPr>
            <w:r w:rsidRPr="00C42CD1">
              <w:rPr>
                <w:rFonts w:cs="Arial"/>
              </w:rPr>
              <w:t>2.19</w:t>
            </w:r>
            <w:r w:rsidRPr="0077299C">
              <w:rPr>
                <w:rFonts w:cs="Arial"/>
                <w:vertAlign w:val="superscript"/>
              </w:rPr>
              <w:t>ab</w:t>
            </w:r>
          </w:p>
        </w:tc>
        <w:tc>
          <w:tcPr>
            <w:tcW w:w="1000" w:type="pct"/>
            <w:vAlign w:val="center"/>
          </w:tcPr>
          <w:p w:rsidR="006041CC" w:rsidRPr="00C42CD1" w:rsidRDefault="006041CC" w:rsidP="008F1B37">
            <w:pPr>
              <w:spacing w:before="0" w:after="0"/>
              <w:jc w:val="center"/>
              <w:rPr>
                <w:rFonts w:cs="Arial"/>
              </w:rPr>
            </w:pPr>
            <w:r w:rsidRPr="00C42CD1">
              <w:rPr>
                <w:rFonts w:cs="Arial"/>
              </w:rPr>
              <w:t>35.66</w:t>
            </w:r>
            <w:r w:rsidRPr="000D6ECB">
              <w:rPr>
                <w:rFonts w:cs="Arial"/>
                <w:vertAlign w:val="superscript"/>
              </w:rPr>
              <w:t>ab</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Bayfolán (0,3%)</w:t>
            </w:r>
          </w:p>
        </w:tc>
        <w:tc>
          <w:tcPr>
            <w:tcW w:w="906" w:type="pct"/>
            <w:vAlign w:val="center"/>
          </w:tcPr>
          <w:p w:rsidR="006041CC" w:rsidRPr="00C42CD1" w:rsidRDefault="006041CC" w:rsidP="008F1B37">
            <w:pPr>
              <w:spacing w:before="0" w:after="0"/>
              <w:jc w:val="center"/>
              <w:rPr>
                <w:rFonts w:cs="Arial"/>
              </w:rPr>
            </w:pPr>
            <w:r>
              <w:rPr>
                <w:rFonts w:cs="Arial"/>
              </w:rPr>
              <w:t>3.94</w:t>
            </w:r>
            <w:r w:rsidRPr="0077299C">
              <w:rPr>
                <w:rFonts w:cs="Arial"/>
                <w:vertAlign w:val="superscript"/>
              </w:rPr>
              <w:t>a</w:t>
            </w:r>
          </w:p>
        </w:tc>
        <w:tc>
          <w:tcPr>
            <w:tcW w:w="1000" w:type="pct"/>
            <w:vAlign w:val="center"/>
          </w:tcPr>
          <w:p w:rsidR="006041CC" w:rsidRPr="00C42CD1" w:rsidRDefault="006041CC" w:rsidP="008F1B37">
            <w:pPr>
              <w:spacing w:before="0" w:after="0"/>
              <w:jc w:val="center"/>
              <w:rPr>
                <w:rFonts w:cs="Arial"/>
              </w:rPr>
            </w:pPr>
            <w:r w:rsidRPr="00C42CD1">
              <w:rPr>
                <w:rFonts w:cs="Arial"/>
              </w:rPr>
              <w:t>2.36ª</w:t>
            </w:r>
          </w:p>
        </w:tc>
        <w:tc>
          <w:tcPr>
            <w:tcW w:w="1000" w:type="pct"/>
            <w:vAlign w:val="center"/>
          </w:tcPr>
          <w:p w:rsidR="006041CC" w:rsidRPr="00C42CD1" w:rsidRDefault="006041CC" w:rsidP="008F1B37">
            <w:pPr>
              <w:spacing w:before="0" w:after="0"/>
              <w:jc w:val="center"/>
              <w:rPr>
                <w:rFonts w:cs="Arial"/>
              </w:rPr>
            </w:pPr>
            <w:r w:rsidRPr="00C42CD1">
              <w:rPr>
                <w:rFonts w:cs="Arial"/>
              </w:rPr>
              <w:t>37.17ª</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b/>
              </w:rPr>
              <w:t>CV±ES</w:t>
            </w:r>
          </w:p>
        </w:tc>
        <w:tc>
          <w:tcPr>
            <w:tcW w:w="906" w:type="pct"/>
            <w:vAlign w:val="center"/>
          </w:tcPr>
          <w:p w:rsidR="006041CC" w:rsidRPr="009B1461" w:rsidRDefault="006041CC" w:rsidP="008F1B37">
            <w:pPr>
              <w:spacing w:before="0" w:after="0"/>
              <w:jc w:val="center"/>
              <w:rPr>
                <w:rFonts w:cs="Arial"/>
              </w:rPr>
            </w:pPr>
            <w:r w:rsidRPr="00C42CD1">
              <w:rPr>
                <w:rFonts w:cs="Arial"/>
              </w:rPr>
              <w:t>7.35</w:t>
            </w:r>
            <w:r>
              <w:rPr>
                <w:rFonts w:cs="Arial"/>
              </w:rPr>
              <w:t>±</w:t>
            </w:r>
            <w:r w:rsidRPr="00C42CD1">
              <w:rPr>
                <w:rFonts w:cs="Arial"/>
              </w:rPr>
              <w:t>0.12</w:t>
            </w:r>
          </w:p>
        </w:tc>
        <w:tc>
          <w:tcPr>
            <w:tcW w:w="1000" w:type="pct"/>
            <w:vAlign w:val="center"/>
          </w:tcPr>
          <w:p w:rsidR="006041CC" w:rsidRPr="009B1461" w:rsidRDefault="006041CC" w:rsidP="008F1B37">
            <w:pPr>
              <w:spacing w:before="0" w:after="0"/>
              <w:jc w:val="center"/>
              <w:rPr>
                <w:rFonts w:cs="Arial"/>
              </w:rPr>
            </w:pPr>
            <w:r w:rsidRPr="00C42CD1">
              <w:rPr>
                <w:rFonts w:cs="Arial"/>
              </w:rPr>
              <w:t>5.67</w:t>
            </w:r>
            <w:r>
              <w:rPr>
                <w:rFonts w:cs="Arial"/>
              </w:rPr>
              <w:t>±</w:t>
            </w:r>
            <w:r w:rsidRPr="00C42CD1">
              <w:rPr>
                <w:rFonts w:cs="Arial"/>
              </w:rPr>
              <w:t>0.03</w:t>
            </w:r>
          </w:p>
        </w:tc>
        <w:tc>
          <w:tcPr>
            <w:tcW w:w="1000" w:type="pct"/>
            <w:vAlign w:val="center"/>
          </w:tcPr>
          <w:p w:rsidR="006041CC" w:rsidRPr="009B1461" w:rsidRDefault="006041CC" w:rsidP="008F1B37">
            <w:pPr>
              <w:spacing w:before="0" w:after="0"/>
              <w:jc w:val="center"/>
              <w:rPr>
                <w:rFonts w:cs="Arial"/>
              </w:rPr>
            </w:pPr>
            <w:r w:rsidRPr="00C42CD1">
              <w:rPr>
                <w:rFonts w:cs="Arial"/>
              </w:rPr>
              <w:t>5.57</w:t>
            </w:r>
            <w:r>
              <w:rPr>
                <w:rFonts w:cs="Arial"/>
              </w:rPr>
              <w:t>±</w:t>
            </w:r>
            <w:r w:rsidRPr="00C42CD1">
              <w:rPr>
                <w:rFonts w:cs="Arial"/>
              </w:rPr>
              <w:t>0.62</w:t>
            </w:r>
          </w:p>
        </w:tc>
      </w:tr>
      <w:tr w:rsidR="006041CC" w:rsidRPr="009B1461" w:rsidTr="008F1B37">
        <w:tc>
          <w:tcPr>
            <w:tcW w:w="1001" w:type="pct"/>
            <w:vMerge w:val="restart"/>
            <w:vAlign w:val="center"/>
          </w:tcPr>
          <w:p w:rsidR="006041CC" w:rsidRPr="009B1461" w:rsidRDefault="006041CC" w:rsidP="008F1B37">
            <w:pPr>
              <w:spacing w:before="0" w:after="0"/>
              <w:jc w:val="center"/>
              <w:rPr>
                <w:rFonts w:cs="Arial"/>
                <w:i/>
              </w:rPr>
            </w:pPr>
            <w:r w:rsidRPr="009B1461">
              <w:rPr>
                <w:rFonts w:cs="Arial"/>
                <w:i/>
              </w:rPr>
              <w:t xml:space="preserve">C. </w:t>
            </w:r>
            <w:proofErr w:type="spellStart"/>
            <w:r w:rsidRPr="009B1461">
              <w:rPr>
                <w:rFonts w:cs="Arial"/>
                <w:i/>
              </w:rPr>
              <w:t>zeylanicum</w:t>
            </w:r>
            <w:proofErr w:type="spellEnd"/>
          </w:p>
        </w:tc>
        <w:tc>
          <w:tcPr>
            <w:tcW w:w="1093" w:type="pct"/>
          </w:tcPr>
          <w:p w:rsidR="006041CC" w:rsidRPr="009B1461" w:rsidRDefault="006041CC" w:rsidP="008F1B37">
            <w:pPr>
              <w:spacing w:before="0" w:after="0"/>
              <w:jc w:val="center"/>
              <w:rPr>
                <w:rFonts w:cs="Arial"/>
              </w:rPr>
            </w:pPr>
            <w:r w:rsidRPr="009B1461">
              <w:rPr>
                <w:rFonts w:cs="Arial"/>
              </w:rPr>
              <w:t>Testigo</w:t>
            </w:r>
          </w:p>
        </w:tc>
        <w:tc>
          <w:tcPr>
            <w:tcW w:w="906" w:type="pct"/>
            <w:vAlign w:val="center"/>
          </w:tcPr>
          <w:p w:rsidR="006041CC" w:rsidRDefault="006041CC" w:rsidP="008F1B37">
            <w:pPr>
              <w:spacing w:before="0" w:after="0"/>
              <w:jc w:val="center"/>
              <w:rPr>
                <w:rFonts w:cs="Arial"/>
                <w:color w:val="000000" w:themeColor="text1"/>
              </w:rPr>
            </w:pPr>
            <w:r>
              <w:rPr>
                <w:rFonts w:cs="Arial"/>
                <w:color w:val="000000" w:themeColor="text1"/>
              </w:rPr>
              <w:t>5.43</w:t>
            </w:r>
            <w:r w:rsidRPr="00B672A5">
              <w:rPr>
                <w:rFonts w:cs="Arial"/>
                <w:color w:val="000000" w:themeColor="text1"/>
                <w:vertAlign w:val="superscript"/>
              </w:rPr>
              <w:t>b</w:t>
            </w:r>
          </w:p>
        </w:tc>
        <w:tc>
          <w:tcPr>
            <w:tcW w:w="1000" w:type="pct"/>
            <w:vAlign w:val="center"/>
          </w:tcPr>
          <w:p w:rsidR="006041CC" w:rsidRPr="00834930" w:rsidRDefault="006041CC" w:rsidP="008F1B37">
            <w:pPr>
              <w:spacing w:before="0" w:after="0"/>
              <w:jc w:val="center"/>
              <w:rPr>
                <w:rFonts w:cs="Arial"/>
                <w:color w:val="000000" w:themeColor="text1"/>
                <w:vertAlign w:val="superscript"/>
              </w:rPr>
            </w:pPr>
            <w:r>
              <w:rPr>
                <w:rFonts w:cs="Arial"/>
                <w:color w:val="000000" w:themeColor="text1"/>
              </w:rPr>
              <w:t>0.07</w:t>
            </w:r>
            <w:r w:rsidRPr="00B672A5">
              <w:rPr>
                <w:rFonts w:cs="Arial"/>
                <w:color w:val="000000" w:themeColor="text1"/>
                <w:vertAlign w:val="superscript"/>
              </w:rPr>
              <w:t>c</w:t>
            </w:r>
          </w:p>
        </w:tc>
        <w:tc>
          <w:tcPr>
            <w:tcW w:w="1000" w:type="pct"/>
            <w:vAlign w:val="center"/>
          </w:tcPr>
          <w:p w:rsidR="006041CC" w:rsidRDefault="006041CC" w:rsidP="008F1B37">
            <w:pPr>
              <w:spacing w:before="0" w:after="0"/>
              <w:jc w:val="center"/>
              <w:rPr>
                <w:rFonts w:cs="Arial"/>
                <w:color w:val="000000" w:themeColor="text1"/>
              </w:rPr>
            </w:pPr>
            <w:r>
              <w:rPr>
                <w:rFonts w:cs="Arial"/>
                <w:color w:val="000000" w:themeColor="text1"/>
              </w:rPr>
              <w:t>40.69</w:t>
            </w:r>
            <w:r w:rsidRPr="00834930">
              <w:rPr>
                <w:rFonts w:cs="Arial"/>
                <w:color w:val="000000" w:themeColor="text1"/>
                <w:vertAlign w:val="superscript"/>
              </w:rPr>
              <w:t>b</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FM-E (1%)</w:t>
            </w:r>
          </w:p>
        </w:tc>
        <w:tc>
          <w:tcPr>
            <w:tcW w:w="906" w:type="pct"/>
            <w:vAlign w:val="center"/>
          </w:tcPr>
          <w:p w:rsidR="006041CC" w:rsidRDefault="006041CC" w:rsidP="008F1B37">
            <w:pPr>
              <w:spacing w:before="0" w:after="0"/>
              <w:jc w:val="center"/>
              <w:rPr>
                <w:rFonts w:cs="Arial"/>
                <w:color w:val="000000" w:themeColor="text1"/>
              </w:rPr>
            </w:pPr>
            <w:r>
              <w:rPr>
                <w:rFonts w:cs="Arial"/>
                <w:color w:val="000000" w:themeColor="text1"/>
              </w:rPr>
              <w:t>4.25</w:t>
            </w:r>
            <w:r w:rsidRPr="00834930">
              <w:rPr>
                <w:rFonts w:cs="Arial"/>
                <w:color w:val="000000" w:themeColor="text1"/>
                <w:vertAlign w:val="superscript"/>
              </w:rPr>
              <w:t>b</w:t>
            </w:r>
          </w:p>
        </w:tc>
        <w:tc>
          <w:tcPr>
            <w:tcW w:w="1000" w:type="pct"/>
            <w:vAlign w:val="center"/>
          </w:tcPr>
          <w:p w:rsidR="006041CC" w:rsidRPr="00834930" w:rsidRDefault="006041CC" w:rsidP="00E572BA">
            <w:pPr>
              <w:spacing w:before="0" w:after="0"/>
              <w:jc w:val="center"/>
              <w:rPr>
                <w:rFonts w:cs="Arial"/>
                <w:color w:val="000000" w:themeColor="text1"/>
                <w:vertAlign w:val="superscript"/>
              </w:rPr>
            </w:pPr>
            <w:r>
              <w:rPr>
                <w:rFonts w:cs="Arial"/>
                <w:color w:val="000000" w:themeColor="text1"/>
              </w:rPr>
              <w:t>0.09</w:t>
            </w:r>
            <w:r w:rsidRPr="00B672A5">
              <w:rPr>
                <w:rFonts w:cs="Arial"/>
                <w:color w:val="000000" w:themeColor="text1"/>
                <w:vertAlign w:val="superscript"/>
              </w:rPr>
              <w:t>b</w:t>
            </w:r>
          </w:p>
        </w:tc>
        <w:tc>
          <w:tcPr>
            <w:tcW w:w="1000" w:type="pct"/>
            <w:vAlign w:val="center"/>
          </w:tcPr>
          <w:p w:rsidR="006041CC" w:rsidRDefault="006041CC" w:rsidP="008F1B37">
            <w:pPr>
              <w:spacing w:before="0" w:after="0"/>
              <w:jc w:val="center"/>
              <w:rPr>
                <w:rFonts w:cs="Arial"/>
                <w:color w:val="000000" w:themeColor="text1"/>
              </w:rPr>
            </w:pPr>
            <w:r>
              <w:rPr>
                <w:rFonts w:cs="Arial"/>
                <w:color w:val="000000" w:themeColor="text1"/>
              </w:rPr>
              <w:t>39.09</w:t>
            </w:r>
            <w:r w:rsidRPr="00B672A5">
              <w:rPr>
                <w:rFonts w:cs="Arial"/>
                <w:color w:val="000000" w:themeColor="text1"/>
                <w:vertAlign w:val="superscript"/>
              </w:rPr>
              <w:t>c</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rPr>
              <w:t>FM-E (2%)</w:t>
            </w:r>
          </w:p>
        </w:tc>
        <w:tc>
          <w:tcPr>
            <w:tcW w:w="906" w:type="pct"/>
            <w:vAlign w:val="center"/>
          </w:tcPr>
          <w:p w:rsidR="006041CC" w:rsidRDefault="006041CC" w:rsidP="008F1B37">
            <w:pPr>
              <w:spacing w:before="0" w:after="0"/>
              <w:jc w:val="center"/>
              <w:rPr>
                <w:rFonts w:cs="Arial"/>
                <w:color w:val="000000" w:themeColor="text1"/>
              </w:rPr>
            </w:pPr>
            <w:r>
              <w:rPr>
                <w:rFonts w:cs="Arial"/>
                <w:color w:val="000000" w:themeColor="text1"/>
              </w:rPr>
              <w:t>4.5ª</w:t>
            </w:r>
          </w:p>
        </w:tc>
        <w:tc>
          <w:tcPr>
            <w:tcW w:w="1000" w:type="pct"/>
            <w:vAlign w:val="center"/>
          </w:tcPr>
          <w:p w:rsidR="006041CC" w:rsidRPr="00834930" w:rsidRDefault="006041CC" w:rsidP="008F1B37">
            <w:pPr>
              <w:spacing w:before="0" w:after="0"/>
              <w:jc w:val="center"/>
              <w:rPr>
                <w:rFonts w:cs="Arial"/>
                <w:color w:val="000000" w:themeColor="text1"/>
                <w:vertAlign w:val="superscript"/>
              </w:rPr>
            </w:pPr>
            <w:r>
              <w:rPr>
                <w:rFonts w:cs="Arial"/>
                <w:color w:val="000000" w:themeColor="text1"/>
              </w:rPr>
              <w:t>0.1</w:t>
            </w:r>
            <w:r w:rsidR="00E572BA">
              <w:rPr>
                <w:rFonts w:cs="Arial"/>
                <w:color w:val="000000" w:themeColor="text1"/>
              </w:rPr>
              <w:t>0</w:t>
            </w:r>
            <w:r>
              <w:rPr>
                <w:rFonts w:cs="Arial"/>
                <w:color w:val="000000" w:themeColor="text1"/>
                <w:vertAlign w:val="superscript"/>
              </w:rPr>
              <w:t>a</w:t>
            </w:r>
          </w:p>
        </w:tc>
        <w:tc>
          <w:tcPr>
            <w:tcW w:w="1000" w:type="pct"/>
            <w:vAlign w:val="center"/>
          </w:tcPr>
          <w:p w:rsidR="006041CC" w:rsidRDefault="006041CC" w:rsidP="008F1B37">
            <w:pPr>
              <w:spacing w:before="0" w:after="0"/>
              <w:jc w:val="center"/>
              <w:rPr>
                <w:rFonts w:cs="Arial"/>
                <w:color w:val="000000" w:themeColor="text1"/>
              </w:rPr>
            </w:pPr>
            <w:r>
              <w:rPr>
                <w:rFonts w:cs="Arial"/>
                <w:color w:val="000000" w:themeColor="text1"/>
              </w:rPr>
              <w:t>42.42</w:t>
            </w:r>
            <w:r w:rsidRPr="00834930">
              <w:rPr>
                <w:rFonts w:cs="Arial"/>
                <w:color w:val="000000" w:themeColor="text1"/>
                <w:vertAlign w:val="superscript"/>
              </w:rPr>
              <w:t>a</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6041CC" w:rsidRPr="009B1461" w:rsidRDefault="006041CC" w:rsidP="008F1B37">
            <w:pPr>
              <w:spacing w:before="0" w:after="0"/>
              <w:jc w:val="center"/>
              <w:rPr>
                <w:rFonts w:cs="Arial"/>
              </w:rPr>
            </w:pPr>
            <w:r w:rsidRPr="009B1461">
              <w:rPr>
                <w:rFonts w:cs="Arial"/>
                <w:b/>
              </w:rPr>
              <w:t>CV±ES</w:t>
            </w:r>
          </w:p>
        </w:tc>
        <w:tc>
          <w:tcPr>
            <w:tcW w:w="906" w:type="pct"/>
            <w:vAlign w:val="center"/>
          </w:tcPr>
          <w:p w:rsidR="006041CC" w:rsidRPr="009B1461" w:rsidRDefault="006041CC" w:rsidP="008F1B37">
            <w:pPr>
              <w:spacing w:before="0" w:after="0"/>
              <w:jc w:val="center"/>
              <w:rPr>
                <w:rFonts w:cs="Arial"/>
              </w:rPr>
            </w:pPr>
            <w:r>
              <w:rPr>
                <w:rFonts w:cs="Arial"/>
                <w:color w:val="000000" w:themeColor="text1"/>
              </w:rPr>
              <w:t>7.18±0.11</w:t>
            </w:r>
          </w:p>
        </w:tc>
        <w:tc>
          <w:tcPr>
            <w:tcW w:w="1000" w:type="pct"/>
            <w:vAlign w:val="center"/>
          </w:tcPr>
          <w:p w:rsidR="006041CC" w:rsidRPr="009B1461" w:rsidRDefault="006041CC" w:rsidP="008F1B37">
            <w:pPr>
              <w:spacing w:before="0" w:after="0"/>
              <w:jc w:val="center"/>
              <w:rPr>
                <w:rFonts w:cs="Arial"/>
              </w:rPr>
            </w:pPr>
            <w:r>
              <w:rPr>
                <w:rFonts w:cs="Arial"/>
                <w:color w:val="000000" w:themeColor="text1"/>
              </w:rPr>
              <w:t>6.91±0.002</w:t>
            </w:r>
          </w:p>
        </w:tc>
        <w:tc>
          <w:tcPr>
            <w:tcW w:w="1000" w:type="pct"/>
            <w:vAlign w:val="center"/>
          </w:tcPr>
          <w:p w:rsidR="006041CC" w:rsidRPr="009B1461" w:rsidRDefault="006041CC" w:rsidP="008F1B37">
            <w:pPr>
              <w:spacing w:before="0" w:after="0"/>
              <w:jc w:val="center"/>
              <w:rPr>
                <w:rFonts w:cs="Arial"/>
              </w:rPr>
            </w:pPr>
            <w:r>
              <w:rPr>
                <w:rFonts w:cs="Arial"/>
                <w:color w:val="000000" w:themeColor="text1"/>
              </w:rPr>
              <w:t>2.41±0.31</w:t>
            </w:r>
          </w:p>
        </w:tc>
      </w:tr>
      <w:tr w:rsidR="006041CC" w:rsidRPr="009B1461" w:rsidTr="008F1B37">
        <w:tc>
          <w:tcPr>
            <w:tcW w:w="1001" w:type="pct"/>
            <w:vMerge w:val="restart"/>
            <w:vAlign w:val="center"/>
          </w:tcPr>
          <w:p w:rsidR="006041CC" w:rsidRPr="009B1461" w:rsidRDefault="006041CC" w:rsidP="008F1B37">
            <w:pPr>
              <w:spacing w:before="0" w:after="0"/>
              <w:jc w:val="center"/>
              <w:rPr>
                <w:rFonts w:cs="Arial"/>
                <w:i/>
              </w:rPr>
            </w:pPr>
            <w:r w:rsidRPr="009B1461">
              <w:rPr>
                <w:rFonts w:cs="Arial"/>
                <w:i/>
              </w:rPr>
              <w:t>S. mahagoni</w:t>
            </w:r>
          </w:p>
        </w:tc>
        <w:tc>
          <w:tcPr>
            <w:tcW w:w="1093" w:type="pct"/>
          </w:tcPr>
          <w:p w:rsidR="006041CC" w:rsidRPr="009B1461" w:rsidRDefault="006041CC" w:rsidP="008F1B37">
            <w:pPr>
              <w:spacing w:before="0" w:after="0"/>
              <w:jc w:val="center"/>
              <w:rPr>
                <w:rFonts w:cs="Arial"/>
              </w:rPr>
            </w:pPr>
            <w:r w:rsidRPr="009B1461">
              <w:rPr>
                <w:rFonts w:cs="Arial"/>
              </w:rPr>
              <w:t>Testigo</w:t>
            </w:r>
          </w:p>
        </w:tc>
        <w:tc>
          <w:tcPr>
            <w:tcW w:w="906" w:type="pct"/>
            <w:vAlign w:val="center"/>
          </w:tcPr>
          <w:p w:rsidR="006041CC" w:rsidRPr="000C2225" w:rsidRDefault="006041CC" w:rsidP="008F1B37">
            <w:pPr>
              <w:spacing w:before="0" w:after="0"/>
              <w:jc w:val="center"/>
              <w:rPr>
                <w:rFonts w:cs="Arial"/>
                <w:color w:val="000000"/>
              </w:rPr>
            </w:pPr>
            <w:r w:rsidRPr="000C2225">
              <w:rPr>
                <w:rFonts w:cs="Arial"/>
                <w:color w:val="000000"/>
              </w:rPr>
              <w:t>5,72</w:t>
            </w:r>
            <w:r w:rsidRPr="000C2225">
              <w:rPr>
                <w:rFonts w:cs="Arial"/>
                <w:color w:val="000000"/>
                <w:vertAlign w:val="superscript"/>
              </w:rPr>
              <w:t>b</w:t>
            </w:r>
          </w:p>
        </w:tc>
        <w:tc>
          <w:tcPr>
            <w:tcW w:w="1000" w:type="pct"/>
            <w:vAlign w:val="center"/>
          </w:tcPr>
          <w:p w:rsidR="006041CC" w:rsidRPr="000C2225" w:rsidRDefault="006041CC" w:rsidP="008F1B37">
            <w:pPr>
              <w:spacing w:before="0" w:after="0"/>
              <w:jc w:val="center"/>
            </w:pPr>
            <w:r w:rsidRPr="000C2225">
              <w:t>0,24</w:t>
            </w:r>
            <w:r w:rsidRPr="000C2225">
              <w:rPr>
                <w:vertAlign w:val="superscript"/>
              </w:rPr>
              <w:t>b</w:t>
            </w:r>
          </w:p>
        </w:tc>
        <w:tc>
          <w:tcPr>
            <w:tcW w:w="1000" w:type="pct"/>
            <w:vAlign w:val="center"/>
          </w:tcPr>
          <w:p w:rsidR="006041CC" w:rsidRPr="000C2225" w:rsidRDefault="006041CC" w:rsidP="008F1B37">
            <w:pPr>
              <w:spacing w:before="0" w:after="0"/>
              <w:jc w:val="center"/>
            </w:pPr>
            <w:r w:rsidRPr="000C2225">
              <w:t>33,00</w:t>
            </w:r>
            <w:r w:rsidRPr="000C2225">
              <w:rPr>
                <w:vertAlign w:val="superscript"/>
              </w:rPr>
              <w:t>b</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8F1B37" w:rsidRDefault="006041CC" w:rsidP="008F1B37">
            <w:pPr>
              <w:spacing w:before="0" w:after="0"/>
              <w:jc w:val="center"/>
              <w:rPr>
                <w:rFonts w:cs="Arial"/>
              </w:rPr>
            </w:pPr>
            <w:r w:rsidRPr="009B1461">
              <w:rPr>
                <w:rFonts w:cs="Arial"/>
              </w:rPr>
              <w:t>VSD</w:t>
            </w:r>
            <w:r>
              <w:rPr>
                <w:rFonts w:cs="Arial"/>
              </w:rPr>
              <w:t>-A</w:t>
            </w:r>
          </w:p>
          <w:p w:rsidR="006041CC" w:rsidRPr="009B1461" w:rsidRDefault="006041CC" w:rsidP="008F1B37">
            <w:pPr>
              <w:spacing w:before="0" w:after="0"/>
              <w:jc w:val="center"/>
              <w:rPr>
                <w:rFonts w:cs="Arial"/>
              </w:rPr>
            </w:pPr>
            <w:r w:rsidRPr="009B1461">
              <w:rPr>
                <w:rFonts w:cs="Arial"/>
              </w:rPr>
              <w:t xml:space="preserve"> (0,25Lha</w:t>
            </w:r>
            <w:r w:rsidRPr="009B1461">
              <w:rPr>
                <w:rFonts w:cs="Arial"/>
                <w:vertAlign w:val="superscript"/>
              </w:rPr>
              <w:t>-1</w:t>
            </w:r>
            <w:r w:rsidRPr="009B1461">
              <w:rPr>
                <w:rFonts w:cs="Arial"/>
              </w:rPr>
              <w:t>)</w:t>
            </w:r>
          </w:p>
        </w:tc>
        <w:tc>
          <w:tcPr>
            <w:tcW w:w="906" w:type="pct"/>
            <w:vAlign w:val="center"/>
          </w:tcPr>
          <w:p w:rsidR="006041CC" w:rsidRPr="000C2225" w:rsidRDefault="006041CC" w:rsidP="008F1B37">
            <w:pPr>
              <w:spacing w:before="0" w:after="0"/>
              <w:jc w:val="center"/>
              <w:rPr>
                <w:rFonts w:cs="Arial"/>
                <w:color w:val="000000"/>
              </w:rPr>
            </w:pPr>
            <w:r w:rsidRPr="000C2225">
              <w:rPr>
                <w:rFonts w:cs="Arial"/>
                <w:color w:val="000000"/>
              </w:rPr>
              <w:t>5,18</w:t>
            </w:r>
            <w:r w:rsidRPr="000C2225">
              <w:rPr>
                <w:rFonts w:cs="Arial"/>
                <w:color w:val="000000"/>
                <w:vertAlign w:val="superscript"/>
              </w:rPr>
              <w:t>a</w:t>
            </w:r>
          </w:p>
        </w:tc>
        <w:tc>
          <w:tcPr>
            <w:tcW w:w="1000" w:type="pct"/>
            <w:vAlign w:val="center"/>
          </w:tcPr>
          <w:p w:rsidR="006041CC" w:rsidRPr="000C2225" w:rsidRDefault="006041CC" w:rsidP="008F1B37">
            <w:pPr>
              <w:spacing w:before="0" w:after="0"/>
              <w:jc w:val="center"/>
            </w:pPr>
            <w:r w:rsidRPr="000C2225">
              <w:t>0,29</w:t>
            </w:r>
            <w:r w:rsidRPr="000C2225">
              <w:rPr>
                <w:vertAlign w:val="superscript"/>
              </w:rPr>
              <w:t>a</w:t>
            </w:r>
          </w:p>
        </w:tc>
        <w:tc>
          <w:tcPr>
            <w:tcW w:w="1000" w:type="pct"/>
            <w:vAlign w:val="center"/>
          </w:tcPr>
          <w:p w:rsidR="006041CC" w:rsidRPr="000C2225" w:rsidRDefault="006041CC" w:rsidP="008F1B37">
            <w:pPr>
              <w:spacing w:before="0" w:after="0"/>
              <w:jc w:val="center"/>
            </w:pPr>
            <w:r w:rsidRPr="000C2225">
              <w:t>35,95</w:t>
            </w:r>
            <w:r w:rsidRPr="000C2225">
              <w:rPr>
                <w:vertAlign w:val="superscript"/>
              </w:rPr>
              <w:t>a</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8F1B37" w:rsidRDefault="006041CC" w:rsidP="008F1B37">
            <w:pPr>
              <w:spacing w:before="0" w:after="0"/>
              <w:jc w:val="center"/>
              <w:rPr>
                <w:rFonts w:cs="Arial"/>
              </w:rPr>
            </w:pPr>
            <w:r w:rsidRPr="009B1461">
              <w:rPr>
                <w:rFonts w:cs="Arial"/>
              </w:rPr>
              <w:t>VSD</w:t>
            </w:r>
            <w:r>
              <w:rPr>
                <w:rFonts w:cs="Arial"/>
              </w:rPr>
              <w:t>-A</w:t>
            </w:r>
          </w:p>
          <w:p w:rsidR="006041CC" w:rsidRPr="009B1461" w:rsidRDefault="006041CC" w:rsidP="008F1B37">
            <w:pPr>
              <w:spacing w:before="0" w:after="0"/>
              <w:jc w:val="center"/>
              <w:rPr>
                <w:rFonts w:cs="Arial"/>
              </w:rPr>
            </w:pPr>
            <w:r>
              <w:rPr>
                <w:rFonts w:cs="Arial"/>
              </w:rPr>
              <w:t xml:space="preserve">   </w:t>
            </w:r>
            <w:r w:rsidRPr="009B1461">
              <w:rPr>
                <w:rFonts w:cs="Arial"/>
              </w:rPr>
              <w:t>(0,50 Lha</w:t>
            </w:r>
            <w:r w:rsidRPr="009B1461">
              <w:rPr>
                <w:rFonts w:cs="Arial"/>
                <w:vertAlign w:val="superscript"/>
              </w:rPr>
              <w:t>-1</w:t>
            </w:r>
            <w:r w:rsidRPr="009B1461">
              <w:rPr>
                <w:rFonts w:cs="Arial"/>
              </w:rPr>
              <w:t>)</w:t>
            </w:r>
          </w:p>
        </w:tc>
        <w:tc>
          <w:tcPr>
            <w:tcW w:w="906" w:type="pct"/>
            <w:vAlign w:val="center"/>
          </w:tcPr>
          <w:p w:rsidR="006041CC" w:rsidRPr="000C2225" w:rsidRDefault="006041CC" w:rsidP="008F1B37">
            <w:pPr>
              <w:spacing w:before="0" w:after="0"/>
              <w:jc w:val="center"/>
              <w:rPr>
                <w:rFonts w:cs="Arial"/>
                <w:color w:val="000000"/>
              </w:rPr>
            </w:pPr>
            <w:r w:rsidRPr="000C2225">
              <w:rPr>
                <w:rFonts w:cs="Arial"/>
                <w:color w:val="000000"/>
              </w:rPr>
              <w:t>5,71</w:t>
            </w:r>
            <w:r w:rsidRPr="000C2225">
              <w:rPr>
                <w:rFonts w:cs="Arial"/>
                <w:color w:val="000000"/>
                <w:vertAlign w:val="superscript"/>
              </w:rPr>
              <w:t>b</w:t>
            </w:r>
          </w:p>
        </w:tc>
        <w:tc>
          <w:tcPr>
            <w:tcW w:w="1000" w:type="pct"/>
            <w:vAlign w:val="center"/>
          </w:tcPr>
          <w:p w:rsidR="006041CC" w:rsidRPr="000C2225" w:rsidRDefault="006041CC" w:rsidP="008F1B37">
            <w:pPr>
              <w:spacing w:before="0" w:after="0"/>
              <w:jc w:val="center"/>
            </w:pPr>
            <w:r w:rsidRPr="000C2225">
              <w:t>0,25</w:t>
            </w:r>
            <w:r w:rsidRPr="000C2225">
              <w:rPr>
                <w:vertAlign w:val="superscript"/>
              </w:rPr>
              <w:t>b</w:t>
            </w:r>
          </w:p>
        </w:tc>
        <w:tc>
          <w:tcPr>
            <w:tcW w:w="1000" w:type="pct"/>
            <w:vAlign w:val="center"/>
          </w:tcPr>
          <w:p w:rsidR="006041CC" w:rsidRPr="000C2225" w:rsidRDefault="006041CC" w:rsidP="008F1B37">
            <w:pPr>
              <w:spacing w:before="0" w:after="0"/>
              <w:jc w:val="center"/>
            </w:pPr>
            <w:r w:rsidRPr="000C2225">
              <w:t>35,77</w:t>
            </w:r>
            <w:r w:rsidRPr="000C2225">
              <w:rPr>
                <w:vertAlign w:val="superscript"/>
              </w:rPr>
              <w:t>a</w:t>
            </w:r>
          </w:p>
        </w:tc>
      </w:tr>
      <w:tr w:rsidR="006041CC" w:rsidRPr="009B1461" w:rsidTr="008F1B37">
        <w:tc>
          <w:tcPr>
            <w:tcW w:w="1001" w:type="pct"/>
            <w:vMerge/>
            <w:vAlign w:val="center"/>
          </w:tcPr>
          <w:p w:rsidR="006041CC" w:rsidRPr="009B1461" w:rsidRDefault="006041CC" w:rsidP="008F1B37">
            <w:pPr>
              <w:spacing w:before="0" w:after="0"/>
              <w:jc w:val="center"/>
              <w:rPr>
                <w:rFonts w:cs="Arial"/>
              </w:rPr>
            </w:pPr>
          </w:p>
        </w:tc>
        <w:tc>
          <w:tcPr>
            <w:tcW w:w="1093" w:type="pct"/>
          </w:tcPr>
          <w:p w:rsidR="008F1B37" w:rsidRDefault="006041CC" w:rsidP="008F1B37">
            <w:pPr>
              <w:spacing w:before="0" w:after="0"/>
              <w:jc w:val="center"/>
              <w:rPr>
                <w:rFonts w:cs="Arial"/>
              </w:rPr>
            </w:pPr>
            <w:r w:rsidRPr="009B1461">
              <w:rPr>
                <w:rFonts w:cs="Arial"/>
              </w:rPr>
              <w:t>VSD</w:t>
            </w:r>
            <w:r>
              <w:rPr>
                <w:rFonts w:cs="Arial"/>
              </w:rPr>
              <w:t>-A</w:t>
            </w:r>
          </w:p>
          <w:p w:rsidR="006041CC" w:rsidRPr="009B1461" w:rsidRDefault="006041CC" w:rsidP="008F1B37">
            <w:pPr>
              <w:spacing w:before="0" w:after="0"/>
              <w:jc w:val="center"/>
              <w:rPr>
                <w:rFonts w:cs="Arial"/>
              </w:rPr>
            </w:pPr>
            <w:r w:rsidRPr="009B1461">
              <w:rPr>
                <w:rFonts w:cs="Arial"/>
              </w:rPr>
              <w:t xml:space="preserve"> (0,75Lha</w:t>
            </w:r>
            <w:r w:rsidRPr="009B1461">
              <w:rPr>
                <w:rFonts w:cs="Arial"/>
                <w:vertAlign w:val="superscript"/>
              </w:rPr>
              <w:t>-1</w:t>
            </w:r>
            <w:r w:rsidRPr="009B1461">
              <w:rPr>
                <w:rFonts w:cs="Arial"/>
              </w:rPr>
              <w:t>)</w:t>
            </w:r>
          </w:p>
        </w:tc>
        <w:tc>
          <w:tcPr>
            <w:tcW w:w="906" w:type="pct"/>
            <w:vAlign w:val="center"/>
          </w:tcPr>
          <w:p w:rsidR="006041CC" w:rsidRPr="000C2225" w:rsidRDefault="006041CC" w:rsidP="008F1B37">
            <w:pPr>
              <w:spacing w:before="0" w:after="0"/>
              <w:jc w:val="center"/>
              <w:rPr>
                <w:rFonts w:cs="Arial"/>
                <w:color w:val="000000"/>
              </w:rPr>
            </w:pPr>
            <w:r w:rsidRPr="000C2225">
              <w:rPr>
                <w:rFonts w:cs="Arial"/>
                <w:color w:val="000000"/>
              </w:rPr>
              <w:t>5,81</w:t>
            </w:r>
            <w:r w:rsidRPr="000C2225">
              <w:rPr>
                <w:rFonts w:cs="Arial"/>
                <w:color w:val="000000"/>
                <w:vertAlign w:val="superscript"/>
              </w:rPr>
              <w:t>b</w:t>
            </w:r>
          </w:p>
        </w:tc>
        <w:tc>
          <w:tcPr>
            <w:tcW w:w="1000" w:type="pct"/>
            <w:vAlign w:val="center"/>
          </w:tcPr>
          <w:p w:rsidR="006041CC" w:rsidRPr="000C2225" w:rsidRDefault="006041CC" w:rsidP="008F1B37">
            <w:pPr>
              <w:spacing w:before="0" w:after="0"/>
              <w:jc w:val="center"/>
            </w:pPr>
            <w:r w:rsidRPr="000C2225">
              <w:t>0,26</w:t>
            </w:r>
            <w:r w:rsidRPr="000C2225">
              <w:rPr>
                <w:vertAlign w:val="superscript"/>
              </w:rPr>
              <w:t>b</w:t>
            </w:r>
          </w:p>
        </w:tc>
        <w:tc>
          <w:tcPr>
            <w:tcW w:w="1000" w:type="pct"/>
            <w:vAlign w:val="center"/>
          </w:tcPr>
          <w:p w:rsidR="006041CC" w:rsidRPr="000C2225" w:rsidRDefault="006041CC" w:rsidP="008F1B37">
            <w:pPr>
              <w:spacing w:before="0" w:after="0"/>
              <w:jc w:val="center"/>
            </w:pPr>
            <w:r w:rsidRPr="000C2225">
              <w:t>36,55</w:t>
            </w:r>
            <w:r w:rsidRPr="000C2225">
              <w:rPr>
                <w:vertAlign w:val="superscript"/>
              </w:rPr>
              <w:t>a</w:t>
            </w:r>
          </w:p>
        </w:tc>
      </w:tr>
      <w:tr w:rsidR="006041CC" w:rsidRPr="009B1461" w:rsidTr="008F1B37">
        <w:tc>
          <w:tcPr>
            <w:tcW w:w="1001" w:type="pct"/>
            <w:vMerge/>
            <w:tcBorders>
              <w:bottom w:val="single" w:sz="12" w:space="0" w:color="000000"/>
            </w:tcBorders>
            <w:vAlign w:val="center"/>
          </w:tcPr>
          <w:p w:rsidR="006041CC" w:rsidRPr="009B1461" w:rsidRDefault="006041CC" w:rsidP="008F1B37">
            <w:pPr>
              <w:spacing w:before="0" w:after="0"/>
              <w:jc w:val="center"/>
              <w:rPr>
                <w:rFonts w:cs="Arial"/>
              </w:rPr>
            </w:pPr>
          </w:p>
        </w:tc>
        <w:tc>
          <w:tcPr>
            <w:tcW w:w="1093" w:type="pct"/>
            <w:tcBorders>
              <w:bottom w:val="single" w:sz="12" w:space="0" w:color="000000"/>
            </w:tcBorders>
          </w:tcPr>
          <w:p w:rsidR="006041CC" w:rsidRPr="009B1461" w:rsidRDefault="006041CC" w:rsidP="008F1B37">
            <w:pPr>
              <w:spacing w:before="0" w:after="0"/>
              <w:jc w:val="center"/>
              <w:rPr>
                <w:rFonts w:cs="Arial"/>
              </w:rPr>
            </w:pPr>
            <w:r w:rsidRPr="009B1461">
              <w:rPr>
                <w:rFonts w:cs="Arial"/>
                <w:b/>
              </w:rPr>
              <w:t>CV±ES</w:t>
            </w:r>
          </w:p>
        </w:tc>
        <w:tc>
          <w:tcPr>
            <w:tcW w:w="906" w:type="pct"/>
            <w:tcBorders>
              <w:bottom w:val="single" w:sz="12" w:space="0" w:color="000000"/>
            </w:tcBorders>
            <w:vAlign w:val="center"/>
          </w:tcPr>
          <w:p w:rsidR="006041CC" w:rsidRPr="009B1461" w:rsidRDefault="006041CC" w:rsidP="008F1B37">
            <w:pPr>
              <w:spacing w:before="0" w:after="0"/>
              <w:jc w:val="center"/>
              <w:rPr>
                <w:rFonts w:cs="Arial"/>
              </w:rPr>
            </w:pPr>
            <w:r>
              <w:rPr>
                <w:rFonts w:cs="Arial"/>
                <w:color w:val="000000"/>
              </w:rPr>
              <w:t>13,42±</w:t>
            </w:r>
            <w:r w:rsidRPr="000C2225">
              <w:rPr>
                <w:rFonts w:cs="Arial"/>
                <w:color w:val="000000"/>
              </w:rPr>
              <w:t>0.06</w:t>
            </w:r>
          </w:p>
        </w:tc>
        <w:tc>
          <w:tcPr>
            <w:tcW w:w="1000" w:type="pct"/>
            <w:tcBorders>
              <w:bottom w:val="single" w:sz="12" w:space="0" w:color="000000"/>
            </w:tcBorders>
            <w:vAlign w:val="center"/>
          </w:tcPr>
          <w:p w:rsidR="006041CC" w:rsidRPr="009B1461" w:rsidRDefault="006041CC" w:rsidP="008F1B37">
            <w:pPr>
              <w:spacing w:before="0" w:after="0"/>
              <w:jc w:val="center"/>
              <w:rPr>
                <w:rFonts w:cs="Arial"/>
              </w:rPr>
            </w:pPr>
            <w:r w:rsidRPr="000C2225">
              <w:t>21,13</w:t>
            </w:r>
            <w:r>
              <w:rPr>
                <w:rFonts w:cs="Arial"/>
              </w:rPr>
              <w:t>±</w:t>
            </w:r>
            <w:r w:rsidRPr="000C2225">
              <w:t>0,005</w:t>
            </w:r>
          </w:p>
        </w:tc>
        <w:tc>
          <w:tcPr>
            <w:tcW w:w="1000" w:type="pct"/>
            <w:tcBorders>
              <w:bottom w:val="single" w:sz="12" w:space="0" w:color="000000"/>
            </w:tcBorders>
            <w:vAlign w:val="center"/>
          </w:tcPr>
          <w:p w:rsidR="006041CC" w:rsidRPr="009B1461" w:rsidRDefault="006041CC" w:rsidP="008F1B37">
            <w:pPr>
              <w:spacing w:before="0" w:after="0"/>
              <w:jc w:val="center"/>
              <w:rPr>
                <w:rFonts w:cs="Arial"/>
              </w:rPr>
            </w:pPr>
            <w:r w:rsidRPr="000C2225">
              <w:t>10,81</w:t>
            </w:r>
            <w:r>
              <w:rPr>
                <w:rFonts w:cs="Arial"/>
              </w:rPr>
              <w:t>±</w:t>
            </w:r>
            <w:r w:rsidRPr="000C2225">
              <w:t>0,34</w:t>
            </w:r>
          </w:p>
        </w:tc>
      </w:tr>
    </w:tbl>
    <w:p w:rsidR="006041CC" w:rsidRDefault="006041CC" w:rsidP="006041CC">
      <w:r>
        <w:t xml:space="preserve">La calidad de plantas analizada en términos de índices morfológicos ofrece una mejor visión del estado </w:t>
      </w:r>
      <w:r w:rsidR="00E572BA">
        <w:t xml:space="preserve">general </w:t>
      </w:r>
      <w:r>
        <w:t>de las mismas, al involucrar integralmente dos o varios atributos</w:t>
      </w:r>
      <w:r w:rsidR="008F1B37">
        <w:t>.</w:t>
      </w:r>
    </w:p>
    <w:p w:rsidR="008F1B37" w:rsidRDefault="008F1B37" w:rsidP="006041CC">
      <w:r>
        <w:t xml:space="preserve">Los valores de esbeltez (H/D) en todos los casos se encuentran en los rangos de calidad alta (menores de 6), lo cual indica un buen balance entre el crecimiento longitudinal y transversal de las plantas. Este parámetro es particularmente importante </w:t>
      </w:r>
      <w:r w:rsidRPr="008F1B37">
        <w:t>para</w:t>
      </w:r>
      <w:r w:rsidR="00B03DCB">
        <w:t xml:space="preserve"> garantizar altos índices de</w:t>
      </w:r>
      <w:r w:rsidRPr="008F1B37">
        <w:t xml:space="preserve"> supervivencia en campo, ya que las plantas con estas características podrán resistir fuertes vientos y ataques de la fauna nociva que se pudiera encontrar en los sitios de plantación. También es un buen indicador de que se están cubriendo los requerimientos nutricionales, o sea, que el sustrato empleado y el bioproducto como complemento constituyen una adecuada </w:t>
      </w:r>
      <w:r w:rsidR="00FA4279">
        <w:t>combinación</w:t>
      </w:r>
      <w:r w:rsidRPr="008F1B37">
        <w:t xml:space="preserve"> para el desarrollo de las plantas desde el punto de vista nutrimental.</w:t>
      </w:r>
    </w:p>
    <w:p w:rsidR="00B03DCB" w:rsidRDefault="00B03DCB" w:rsidP="002F086F">
      <w:r>
        <w:t xml:space="preserve">El efecto de los bioproductos sobre el índice de calidad de </w:t>
      </w:r>
      <w:proofErr w:type="spellStart"/>
      <w:r>
        <w:t>Dickson</w:t>
      </w:r>
      <w:proofErr w:type="spellEnd"/>
      <w:r>
        <w:t xml:space="preserve"> (QI) solo fue positivo para </w:t>
      </w:r>
      <w:r w:rsidRPr="00B03DCB">
        <w:rPr>
          <w:i/>
        </w:rPr>
        <w:t xml:space="preserve">Ch. </w:t>
      </w:r>
      <w:proofErr w:type="spellStart"/>
      <w:r w:rsidRPr="00B03DCB">
        <w:rPr>
          <w:i/>
        </w:rPr>
        <w:t>cainito</w:t>
      </w:r>
      <w:proofErr w:type="spellEnd"/>
      <w:r>
        <w:t xml:space="preserve">, ya que, si bien en todos los casos se obtuvieron valores superiores a los de las plantas sin tratar, lo deseable es que los mismos estén por encima de 0,5. En este sentido, </w:t>
      </w:r>
      <w:r w:rsidR="002F086F">
        <w:t xml:space="preserve">Escobar y Rodríguez, (2019) plantean que los mayores valores de QI implican, por una parte, un excelente desarrollo total de la planta y que, al mismo tiempo, las partes </w:t>
      </w:r>
      <w:r w:rsidR="002F086F">
        <w:lastRenderedPageBreak/>
        <w:t>aérea y radicular están equilibradas, lo cual se traduce en una buena supervivencia en plantación</w:t>
      </w:r>
      <w:r w:rsidR="00050C74">
        <w:t>.</w:t>
      </w:r>
    </w:p>
    <w:p w:rsidR="00050C74" w:rsidRDefault="00050C74" w:rsidP="002F086F">
      <w:r>
        <w:t xml:space="preserve">El índice de lignificación ha sido el parámetro sobre el cual el efecto de los bioproductos ha </w:t>
      </w:r>
      <w:r w:rsidR="00AB0538">
        <w:t>sido menos significativo</w:t>
      </w:r>
      <w:r>
        <w:t xml:space="preserve">, ya que en muchos casos no se constataron diferencias respecto a las plantas sin tratar y </w:t>
      </w:r>
      <w:r w:rsidR="00AB0538">
        <w:t xml:space="preserve">en </w:t>
      </w:r>
      <w:r>
        <w:t>otros, estas fueron poco significativas</w:t>
      </w:r>
      <w:r w:rsidR="002F086F">
        <w:t xml:space="preserve">, no obstante, en general, los resultados son positivos, pues según Buendía </w:t>
      </w:r>
      <w:r w:rsidR="002F086F" w:rsidRPr="002F086F">
        <w:rPr>
          <w:i/>
        </w:rPr>
        <w:t>et al</w:t>
      </w:r>
      <w:r w:rsidR="002F086F">
        <w:t xml:space="preserve">., (2017) si las plantas de vivero presentan índices de lignificación entre 20 y 30% se </w:t>
      </w:r>
      <w:r w:rsidR="00783C69">
        <w:t>favorece</w:t>
      </w:r>
      <w:r w:rsidR="002F086F">
        <w:t xml:space="preserve"> su adaptación en el sitio de plantación por su alto endurecimiento</w:t>
      </w:r>
      <w:r>
        <w:t>.</w:t>
      </w:r>
      <w:bookmarkStart w:id="0" w:name="_GoBack"/>
      <w:bookmarkEnd w:id="0"/>
    </w:p>
    <w:p w:rsidR="00780F36" w:rsidRDefault="006041CC" w:rsidP="006041CC">
      <w:pPr>
        <w:pStyle w:val="Ttulo1"/>
      </w:pPr>
      <w:r>
        <w:t>CONCLUSIONES</w:t>
      </w:r>
    </w:p>
    <w:p w:rsidR="006041CC" w:rsidRDefault="00186EA9" w:rsidP="00780F36">
      <w:pPr>
        <w:rPr>
          <w:rFonts w:cs="Arial"/>
        </w:rPr>
      </w:pPr>
      <w:r>
        <w:rPr>
          <w:rFonts w:cs="Arial"/>
        </w:rPr>
        <w:t>L</w:t>
      </w:r>
      <w:r w:rsidR="00B81A6F">
        <w:rPr>
          <w:rFonts w:cs="Arial"/>
        </w:rPr>
        <w:t xml:space="preserve">a </w:t>
      </w:r>
      <w:r>
        <w:rPr>
          <w:rFonts w:cs="Arial"/>
        </w:rPr>
        <w:t xml:space="preserve">utilización de soluciones con dosis </w:t>
      </w:r>
      <w:r w:rsidR="00B81A6F">
        <w:rPr>
          <w:rFonts w:cs="Arial"/>
        </w:rPr>
        <w:t xml:space="preserve">mínimas de </w:t>
      </w:r>
      <w:r>
        <w:rPr>
          <w:rFonts w:cs="Arial"/>
        </w:rPr>
        <w:t>bioproductos</w:t>
      </w:r>
      <w:r w:rsidR="00B81A6F">
        <w:rPr>
          <w:rFonts w:cs="Arial"/>
        </w:rPr>
        <w:t xml:space="preserve"> </w:t>
      </w:r>
      <w:r>
        <w:rPr>
          <w:rFonts w:cs="Arial"/>
        </w:rPr>
        <w:t xml:space="preserve">para el tratamiento de las semillas </w:t>
      </w:r>
      <w:r w:rsidRPr="00186EA9">
        <w:rPr>
          <w:rFonts w:cs="Arial"/>
          <w:i/>
        </w:rPr>
        <w:t xml:space="preserve">Ch. </w:t>
      </w:r>
      <w:proofErr w:type="spellStart"/>
      <w:r w:rsidRPr="00186EA9">
        <w:rPr>
          <w:rFonts w:cs="Arial"/>
          <w:i/>
        </w:rPr>
        <w:t>cainito</w:t>
      </w:r>
      <w:proofErr w:type="spellEnd"/>
      <w:r>
        <w:rPr>
          <w:rFonts w:cs="Arial"/>
        </w:rPr>
        <w:t xml:space="preserve">, </w:t>
      </w:r>
      <w:r w:rsidRPr="00186EA9">
        <w:rPr>
          <w:rFonts w:cs="Arial"/>
          <w:i/>
        </w:rPr>
        <w:t xml:space="preserve">C. </w:t>
      </w:r>
      <w:proofErr w:type="spellStart"/>
      <w:r w:rsidRPr="00186EA9">
        <w:rPr>
          <w:rFonts w:cs="Arial"/>
          <w:i/>
        </w:rPr>
        <w:t>zeylanicum</w:t>
      </w:r>
      <w:proofErr w:type="spellEnd"/>
      <w:r>
        <w:rPr>
          <w:rFonts w:cs="Arial"/>
        </w:rPr>
        <w:t xml:space="preserve"> y </w:t>
      </w:r>
      <w:r w:rsidRPr="00186EA9">
        <w:rPr>
          <w:rFonts w:cs="Arial"/>
          <w:i/>
        </w:rPr>
        <w:t>S, mahagoni</w:t>
      </w:r>
      <w:r>
        <w:rPr>
          <w:rFonts w:cs="Arial"/>
        </w:rPr>
        <w:t xml:space="preserve"> fue efectiva, al lograrse</w:t>
      </w:r>
      <w:r w:rsidR="00B81A6F">
        <w:rPr>
          <w:rFonts w:cs="Arial"/>
        </w:rPr>
        <w:t xml:space="preserve"> incrementos significativos en la germinación </w:t>
      </w:r>
      <w:r>
        <w:rPr>
          <w:rFonts w:cs="Arial"/>
        </w:rPr>
        <w:t>total y un adelanto en el inicio de la misma.</w:t>
      </w:r>
    </w:p>
    <w:p w:rsidR="00186EA9" w:rsidRDefault="00186EA9" w:rsidP="00780F36">
      <w:pPr>
        <w:rPr>
          <w:rFonts w:cs="Arial"/>
        </w:rPr>
      </w:pPr>
      <w:r>
        <w:rPr>
          <w:rFonts w:cs="Arial"/>
        </w:rPr>
        <w:t xml:space="preserve">La aplicación foliar de FitoMas-E, Bayfolán y VIUSID </w:t>
      </w:r>
      <w:r w:rsidRPr="00186EA9">
        <w:rPr>
          <w:rFonts w:cs="Arial"/>
          <w:i/>
        </w:rPr>
        <w:t>Agro</w:t>
      </w:r>
      <w:r>
        <w:rPr>
          <w:rFonts w:cs="Arial"/>
        </w:rPr>
        <w:t xml:space="preserve"> mostró gran efectividad para el mejoramiento de la calidad de las plantas en vivero y la reducción del tiempo de permanencia de las mismas en estas condiciones.</w:t>
      </w:r>
    </w:p>
    <w:p w:rsidR="005B747F" w:rsidRPr="00700DF8" w:rsidRDefault="005B747F" w:rsidP="009016FB">
      <w:pPr>
        <w:pStyle w:val="StyleTitleYAYABO-TitleLeft"/>
        <w:rPr>
          <w:lang w:val="es-CU"/>
        </w:rPr>
      </w:pPr>
      <w:r w:rsidRPr="00700DF8">
        <w:rPr>
          <w:lang w:val="es-CU"/>
        </w:rPr>
        <w:t>REFERENC</w:t>
      </w:r>
      <w:r w:rsidR="009016FB" w:rsidRPr="00700DF8">
        <w:rPr>
          <w:lang w:val="es-CU"/>
        </w:rPr>
        <w:t>IA</w:t>
      </w:r>
      <w:r w:rsidRPr="00700DF8">
        <w:rPr>
          <w:lang w:val="es-CU"/>
        </w:rPr>
        <w:t>S</w:t>
      </w:r>
      <w:r w:rsidR="009016FB" w:rsidRPr="00700DF8">
        <w:rPr>
          <w:lang w:val="es-CU"/>
        </w:rPr>
        <w:t xml:space="preserve"> BIBLIOGRÁFICAS</w:t>
      </w:r>
      <w:r w:rsidRPr="00700DF8">
        <w:rPr>
          <w:lang w:val="es-CU"/>
        </w:rPr>
        <w:t xml:space="preserve"> </w:t>
      </w:r>
    </w:p>
    <w:p w:rsidR="00445918" w:rsidRDefault="00445918" w:rsidP="00FA4279">
      <w:pPr>
        <w:rPr>
          <w:lang w:val="es-CU"/>
        </w:rPr>
      </w:pPr>
      <w:r w:rsidRPr="00FA4279">
        <w:rPr>
          <w:lang w:val="es-CU"/>
        </w:rPr>
        <w:t xml:space="preserve">Bango Folgoso, J. C. y Torres Martínez, L. </w:t>
      </w:r>
      <w:r>
        <w:rPr>
          <w:lang w:val="es-CU"/>
        </w:rPr>
        <w:t>(</w:t>
      </w:r>
      <w:r w:rsidRPr="00FA4279">
        <w:rPr>
          <w:lang w:val="es-CU"/>
        </w:rPr>
        <w:t>2013</w:t>
      </w:r>
      <w:r>
        <w:rPr>
          <w:lang w:val="es-CU"/>
        </w:rPr>
        <w:t>)</w:t>
      </w:r>
      <w:r w:rsidRPr="00FA4279">
        <w:rPr>
          <w:lang w:val="es-CU"/>
        </w:rPr>
        <w:t xml:space="preserve">. Alternativas biológicas para la obtención de posturas de Caoba antillana en la etapa de vivero. </w:t>
      </w:r>
      <w:r w:rsidRPr="000632B3">
        <w:rPr>
          <w:i/>
          <w:lang w:val="es-CU"/>
        </w:rPr>
        <w:t>DELOS: Desarrollo Local Sostenible [en línea]</w:t>
      </w:r>
      <w:r w:rsidRPr="00FA4279">
        <w:rPr>
          <w:lang w:val="es-CU"/>
        </w:rPr>
        <w:t>, 6</w:t>
      </w:r>
      <w:r>
        <w:rPr>
          <w:lang w:val="es-CU"/>
        </w:rPr>
        <w:t>(</w:t>
      </w:r>
      <w:r w:rsidRPr="00FA4279">
        <w:rPr>
          <w:lang w:val="es-CU"/>
        </w:rPr>
        <w:t>16</w:t>
      </w:r>
      <w:r>
        <w:rPr>
          <w:lang w:val="es-CU"/>
        </w:rPr>
        <w:t>):</w:t>
      </w:r>
      <w:r w:rsidRPr="00FA4279">
        <w:rPr>
          <w:lang w:val="es-CU"/>
        </w:rPr>
        <w:t xml:space="preserve"> </w:t>
      </w:r>
      <w:r>
        <w:rPr>
          <w:lang w:val="es-CU"/>
        </w:rPr>
        <w:t>1-</w:t>
      </w:r>
      <w:r w:rsidRPr="00FA4279">
        <w:rPr>
          <w:lang w:val="es-CU"/>
        </w:rPr>
        <w:t xml:space="preserve">15. Disponible en: </w:t>
      </w:r>
      <w:r>
        <w:rPr>
          <w:lang w:val="es-CU"/>
        </w:rPr>
        <w:fldChar w:fldCharType="begin"/>
      </w:r>
      <w:r>
        <w:rPr>
          <w:lang w:val="es-CU"/>
        </w:rPr>
        <w:instrText xml:space="preserve"> HYPERLINK "</w:instrText>
      </w:r>
      <w:r w:rsidRPr="00FA4279">
        <w:rPr>
          <w:lang w:val="es-CU"/>
        </w:rPr>
        <w:instrText>https://dialnet.unirioja.es/servlet/articulo?codigo=6426880</w:instrText>
      </w:r>
      <w:r>
        <w:rPr>
          <w:lang w:val="es-CU"/>
        </w:rPr>
        <w:instrText xml:space="preserve">" </w:instrText>
      </w:r>
      <w:r>
        <w:rPr>
          <w:lang w:val="es-CU"/>
        </w:rPr>
        <w:fldChar w:fldCharType="separate"/>
      </w:r>
      <w:r w:rsidRPr="00B8363A">
        <w:rPr>
          <w:rStyle w:val="Hipervnculo"/>
          <w:lang w:val="es-CU"/>
        </w:rPr>
        <w:t>https://dialnet.unirioja.es/servlet/articulo?codigo=6426880</w:t>
      </w:r>
      <w:r>
        <w:rPr>
          <w:lang w:val="es-CU"/>
        </w:rPr>
        <w:fldChar w:fldCharType="end"/>
      </w:r>
      <w:r w:rsidRPr="00FA4279">
        <w:rPr>
          <w:lang w:val="es-CU"/>
        </w:rPr>
        <w:t>.</w:t>
      </w:r>
    </w:p>
    <w:p w:rsidR="002F086F" w:rsidRDefault="002F086F" w:rsidP="002F086F">
      <w:pPr>
        <w:rPr>
          <w:lang w:val="es-CU"/>
        </w:rPr>
      </w:pPr>
      <w:r w:rsidRPr="002F086F">
        <w:rPr>
          <w:lang w:val="es-CU"/>
        </w:rPr>
        <w:t xml:space="preserve">Buendía, M. V., López, M. Á.., Cetina, V. M. y Diakite, L. (2017). Substrates and nutrient addition rates affect morphology and physiology of </w:t>
      </w:r>
      <w:r w:rsidRPr="002F086F">
        <w:rPr>
          <w:i/>
          <w:lang w:val="es-CU"/>
        </w:rPr>
        <w:t>Pinus leiophylla</w:t>
      </w:r>
      <w:r w:rsidRPr="002F086F">
        <w:rPr>
          <w:lang w:val="es-CU"/>
        </w:rPr>
        <w:t xml:space="preserve"> seedlings in the nursery stage. </w:t>
      </w:r>
      <w:r w:rsidRPr="002F086F">
        <w:rPr>
          <w:i/>
          <w:lang w:val="es-CU"/>
        </w:rPr>
        <w:t>iForest Biogeosciences and Forestry</w:t>
      </w:r>
      <w:r w:rsidRPr="002F086F">
        <w:rPr>
          <w:lang w:val="es-CU"/>
        </w:rPr>
        <w:t>, 10: 115–120. DOI:10.3832/ifor1982-009.</w:t>
      </w:r>
    </w:p>
    <w:p w:rsidR="00445918" w:rsidRDefault="00445918" w:rsidP="000B4AC9">
      <w:pPr>
        <w:rPr>
          <w:lang w:val="es-CU"/>
        </w:rPr>
      </w:pPr>
      <w:r w:rsidRPr="000B4AC9">
        <w:rPr>
          <w:lang w:val="es-CU"/>
        </w:rPr>
        <w:t xml:space="preserve">Catalysis. </w:t>
      </w:r>
      <w:r>
        <w:rPr>
          <w:lang w:val="es-CU"/>
        </w:rPr>
        <w:t>(</w:t>
      </w:r>
      <w:r w:rsidRPr="000B4AC9">
        <w:rPr>
          <w:lang w:val="es-CU"/>
        </w:rPr>
        <w:t>2018</w:t>
      </w:r>
      <w:r>
        <w:rPr>
          <w:lang w:val="es-CU"/>
        </w:rPr>
        <w:t>)</w:t>
      </w:r>
      <w:r w:rsidRPr="000B4AC9">
        <w:rPr>
          <w:lang w:val="es-CU"/>
        </w:rPr>
        <w:t>. VIUSID</w:t>
      </w:r>
      <w:r w:rsidRPr="000B4AC9">
        <w:rPr>
          <w:vertAlign w:val="superscript"/>
          <w:lang w:val="es-CU"/>
        </w:rPr>
        <w:t>®</w:t>
      </w:r>
      <w:r w:rsidRPr="000B4AC9">
        <w:rPr>
          <w:lang w:val="es-CU"/>
        </w:rPr>
        <w:t xml:space="preserve"> agro, promotor del crecimiento.</w:t>
      </w:r>
      <w:r>
        <w:rPr>
          <w:lang w:val="es-CU"/>
        </w:rPr>
        <w:t xml:space="preserve"> Disponible en: </w:t>
      </w:r>
      <w:r>
        <w:rPr>
          <w:lang w:val="es-CU"/>
        </w:rPr>
        <w:fldChar w:fldCharType="begin"/>
      </w:r>
      <w:r>
        <w:rPr>
          <w:lang w:val="es-CU"/>
        </w:rPr>
        <w:instrText xml:space="preserve"> HYPERLINK "</w:instrText>
      </w:r>
      <w:r w:rsidRPr="000B4AC9">
        <w:rPr>
          <w:lang w:val="es-CU"/>
        </w:rPr>
        <w:instrText>ht</w:instrText>
      </w:r>
      <w:r>
        <w:rPr>
          <w:lang w:val="es-CU"/>
        </w:rPr>
        <w:instrText xml:space="preserve">tp://www.catalysisagrovete.com" </w:instrText>
      </w:r>
      <w:r>
        <w:rPr>
          <w:lang w:val="es-CU"/>
        </w:rPr>
        <w:fldChar w:fldCharType="separate"/>
      </w:r>
      <w:r w:rsidRPr="00B8363A">
        <w:rPr>
          <w:rStyle w:val="Hipervnculo"/>
          <w:lang w:val="es-CU"/>
        </w:rPr>
        <w:t>http://www.catalysisagrovete.com</w:t>
      </w:r>
      <w:r>
        <w:rPr>
          <w:lang w:val="es-CU"/>
        </w:rPr>
        <w:fldChar w:fldCharType="end"/>
      </w:r>
      <w:r>
        <w:rPr>
          <w:lang w:val="es-CU"/>
        </w:rPr>
        <w:t>.</w:t>
      </w:r>
    </w:p>
    <w:p w:rsidR="002F086F" w:rsidRDefault="002F086F" w:rsidP="002F086F">
      <w:pPr>
        <w:rPr>
          <w:lang w:val="es-CU"/>
        </w:rPr>
      </w:pPr>
      <w:r w:rsidRPr="002F086F">
        <w:rPr>
          <w:lang w:val="es-CU"/>
        </w:rPr>
        <w:lastRenderedPageBreak/>
        <w:t xml:space="preserve">Escobar Alonso, S. y Rodríguez Trejo, D. A. (2019). Estado del arte en la investigación sobre calidad de planta del género </w:t>
      </w:r>
      <w:r w:rsidRPr="002F086F">
        <w:rPr>
          <w:i/>
          <w:lang w:val="es-CU"/>
        </w:rPr>
        <w:t>Pinus</w:t>
      </w:r>
      <w:r w:rsidRPr="002F086F">
        <w:rPr>
          <w:lang w:val="es-CU"/>
        </w:rPr>
        <w:t xml:space="preserve"> en México. </w:t>
      </w:r>
      <w:r w:rsidRPr="002F086F">
        <w:rPr>
          <w:i/>
          <w:lang w:val="es-CU"/>
        </w:rPr>
        <w:t>Revista Mexicana de Ciencias Forestales</w:t>
      </w:r>
      <w:r w:rsidRPr="002F086F">
        <w:rPr>
          <w:lang w:val="es-CU"/>
        </w:rPr>
        <w:t xml:space="preserve">, 10 (55): 4-38. DOI: </w:t>
      </w:r>
      <w:r>
        <w:rPr>
          <w:lang w:val="es-CU"/>
        </w:rPr>
        <w:fldChar w:fldCharType="begin"/>
      </w:r>
      <w:r>
        <w:rPr>
          <w:lang w:val="es-CU"/>
        </w:rPr>
        <w:instrText xml:space="preserve"> HYPERLINK "</w:instrText>
      </w:r>
      <w:r w:rsidRPr="002F086F">
        <w:rPr>
          <w:lang w:val="es-CU"/>
        </w:rPr>
        <w:instrText>https://doi.org/10.29298/rmcf.v10i55.558</w:instrText>
      </w:r>
      <w:r>
        <w:rPr>
          <w:lang w:val="es-CU"/>
        </w:rPr>
        <w:instrText xml:space="preserve">" </w:instrText>
      </w:r>
      <w:r>
        <w:rPr>
          <w:lang w:val="es-CU"/>
        </w:rPr>
        <w:fldChar w:fldCharType="separate"/>
      </w:r>
      <w:r w:rsidRPr="00DB44F9">
        <w:rPr>
          <w:rStyle w:val="Hipervnculo"/>
          <w:lang w:val="es-CU"/>
        </w:rPr>
        <w:t>https://doi.org/10.29298/rmcf.v10i55.558</w:t>
      </w:r>
      <w:r>
        <w:rPr>
          <w:lang w:val="es-CU"/>
        </w:rPr>
        <w:fldChar w:fldCharType="end"/>
      </w:r>
    </w:p>
    <w:p w:rsidR="00445918" w:rsidRDefault="00445918" w:rsidP="002F086F">
      <w:pPr>
        <w:rPr>
          <w:lang w:val="es-CU"/>
        </w:rPr>
      </w:pPr>
      <w:r w:rsidRPr="000632B3">
        <w:rPr>
          <w:lang w:val="es-CU"/>
        </w:rPr>
        <w:t xml:space="preserve">Falcón Oconor, E.; Rodríguez Leyva, O. y Rodríguez Matos, Y. </w:t>
      </w:r>
      <w:r>
        <w:rPr>
          <w:lang w:val="es-CU"/>
        </w:rPr>
        <w:t>(</w:t>
      </w:r>
      <w:r w:rsidRPr="000632B3">
        <w:rPr>
          <w:lang w:val="es-CU"/>
        </w:rPr>
        <w:t>2015</w:t>
      </w:r>
      <w:r>
        <w:rPr>
          <w:lang w:val="es-CU"/>
        </w:rPr>
        <w:t>)</w:t>
      </w:r>
      <w:r w:rsidRPr="000632B3">
        <w:rPr>
          <w:lang w:val="es-CU"/>
        </w:rPr>
        <w:t xml:space="preserve">. Aplicación combinada de micorriza y FitoMas-E en plantas de </w:t>
      </w:r>
      <w:r w:rsidRPr="000632B3">
        <w:rPr>
          <w:i/>
          <w:lang w:val="es-CU"/>
        </w:rPr>
        <w:t>Talipariti elatum</w:t>
      </w:r>
      <w:r w:rsidRPr="000632B3">
        <w:rPr>
          <w:lang w:val="es-CU"/>
        </w:rPr>
        <w:t xml:space="preserve"> (</w:t>
      </w:r>
      <w:r>
        <w:rPr>
          <w:lang w:val="es-CU"/>
        </w:rPr>
        <w:t>S</w:t>
      </w:r>
      <w:r w:rsidRPr="000632B3">
        <w:rPr>
          <w:lang w:val="es-CU"/>
        </w:rPr>
        <w:t xml:space="preserve">w.) </w:t>
      </w:r>
      <w:r>
        <w:rPr>
          <w:lang w:val="es-CU"/>
        </w:rPr>
        <w:t>F</w:t>
      </w:r>
      <w:r w:rsidRPr="000632B3">
        <w:rPr>
          <w:lang w:val="es-CU"/>
        </w:rPr>
        <w:t xml:space="preserve">ryxell (majagua). </w:t>
      </w:r>
      <w:r w:rsidRPr="000632B3">
        <w:rPr>
          <w:i/>
          <w:lang w:val="es-CU"/>
        </w:rPr>
        <w:t>Cultivos Tropicales</w:t>
      </w:r>
      <w:r w:rsidRPr="000632B3">
        <w:rPr>
          <w:lang w:val="es-CU"/>
        </w:rPr>
        <w:t>, 36</w:t>
      </w:r>
      <w:r>
        <w:rPr>
          <w:lang w:val="es-CU"/>
        </w:rPr>
        <w:t>(4):</w:t>
      </w:r>
      <w:r w:rsidRPr="000632B3">
        <w:rPr>
          <w:lang w:val="es-CU"/>
        </w:rPr>
        <w:t xml:space="preserve"> 35-42.</w:t>
      </w:r>
      <w:r>
        <w:rPr>
          <w:lang w:val="es-CU"/>
        </w:rPr>
        <w:t xml:space="preserve"> </w:t>
      </w:r>
      <w:r w:rsidRPr="000632B3">
        <w:rPr>
          <w:lang w:val="es-CU"/>
        </w:rPr>
        <w:t xml:space="preserve">Disponible en: </w:t>
      </w:r>
      <w:r>
        <w:rPr>
          <w:lang w:val="es-CU"/>
        </w:rPr>
        <w:fldChar w:fldCharType="begin"/>
      </w:r>
      <w:r>
        <w:rPr>
          <w:lang w:val="es-CU"/>
        </w:rPr>
        <w:instrText xml:space="preserve"> HYPERLINK "</w:instrText>
      </w:r>
      <w:r w:rsidRPr="000632B3">
        <w:rPr>
          <w:lang w:val="es-CU"/>
        </w:rPr>
        <w:instrText>http://scielo.sld.cu/scielo.php?script=sci_arttext&amp;pid=S0258-59362015000400005</w:instrText>
      </w:r>
      <w:r>
        <w:rPr>
          <w:lang w:val="es-CU"/>
        </w:rPr>
        <w:instrText xml:space="preserve">" </w:instrText>
      </w:r>
      <w:r>
        <w:rPr>
          <w:lang w:val="es-CU"/>
        </w:rPr>
        <w:fldChar w:fldCharType="separate"/>
      </w:r>
      <w:r w:rsidRPr="00B8363A">
        <w:rPr>
          <w:rStyle w:val="Hipervnculo"/>
          <w:lang w:val="es-CU"/>
        </w:rPr>
        <w:t>http://scielo.sld.cu/scielo.php?script=sci_arttext&amp;pid=S0258-59362015000400005</w:t>
      </w:r>
      <w:r>
        <w:rPr>
          <w:lang w:val="es-CU"/>
        </w:rPr>
        <w:fldChar w:fldCharType="end"/>
      </w:r>
    </w:p>
    <w:p w:rsidR="00445918" w:rsidRDefault="00445918" w:rsidP="000632B3">
      <w:pPr>
        <w:rPr>
          <w:lang w:val="es-CU"/>
        </w:rPr>
      </w:pPr>
      <w:r w:rsidRPr="000632B3">
        <w:rPr>
          <w:lang w:val="es-CU"/>
        </w:rPr>
        <w:t>Ferrás</w:t>
      </w:r>
      <w:r>
        <w:rPr>
          <w:lang w:val="es-CU"/>
        </w:rPr>
        <w:t xml:space="preserve"> </w:t>
      </w:r>
      <w:r w:rsidRPr="000632B3">
        <w:rPr>
          <w:lang w:val="es-CU"/>
        </w:rPr>
        <w:t>Negrín</w:t>
      </w:r>
      <w:r>
        <w:rPr>
          <w:lang w:val="es-CU"/>
        </w:rPr>
        <w:t>,</w:t>
      </w:r>
      <w:r w:rsidRPr="000632B3">
        <w:rPr>
          <w:lang w:val="es-CU"/>
        </w:rPr>
        <w:t xml:space="preserve"> Y</w:t>
      </w:r>
      <w:r>
        <w:rPr>
          <w:lang w:val="es-CU"/>
        </w:rPr>
        <w:t>.</w:t>
      </w:r>
      <w:r w:rsidRPr="000632B3">
        <w:rPr>
          <w:lang w:val="es-CU"/>
        </w:rPr>
        <w:t>, Díaz</w:t>
      </w:r>
      <w:r>
        <w:rPr>
          <w:lang w:val="es-CU"/>
        </w:rPr>
        <w:t xml:space="preserve"> </w:t>
      </w:r>
      <w:r w:rsidRPr="000632B3">
        <w:rPr>
          <w:lang w:val="es-CU"/>
        </w:rPr>
        <w:t>Solares</w:t>
      </w:r>
      <w:r>
        <w:rPr>
          <w:lang w:val="es-CU"/>
        </w:rPr>
        <w:t>,</w:t>
      </w:r>
      <w:r w:rsidRPr="000632B3">
        <w:rPr>
          <w:lang w:val="es-CU"/>
        </w:rPr>
        <w:t xml:space="preserve"> M</w:t>
      </w:r>
      <w:r>
        <w:rPr>
          <w:lang w:val="es-CU"/>
        </w:rPr>
        <w:t>.</w:t>
      </w:r>
      <w:r w:rsidRPr="000632B3">
        <w:rPr>
          <w:lang w:val="es-CU"/>
        </w:rPr>
        <w:t>, Guerra</w:t>
      </w:r>
      <w:r>
        <w:rPr>
          <w:lang w:val="es-CU"/>
        </w:rPr>
        <w:t xml:space="preserve"> </w:t>
      </w:r>
      <w:r w:rsidRPr="000632B3">
        <w:rPr>
          <w:lang w:val="es-CU"/>
        </w:rPr>
        <w:t>Rivero</w:t>
      </w:r>
      <w:r>
        <w:rPr>
          <w:lang w:val="es-CU"/>
        </w:rPr>
        <w:t>,</w:t>
      </w:r>
      <w:r w:rsidRPr="000632B3">
        <w:rPr>
          <w:lang w:val="es-CU"/>
        </w:rPr>
        <w:t xml:space="preserve"> C</w:t>
      </w:r>
      <w:r>
        <w:rPr>
          <w:lang w:val="es-CU"/>
        </w:rPr>
        <w:t>.</w:t>
      </w:r>
      <w:r w:rsidRPr="000632B3">
        <w:rPr>
          <w:lang w:val="es-CU"/>
        </w:rPr>
        <w:t>,</w:t>
      </w:r>
      <w:r>
        <w:rPr>
          <w:lang w:val="es-CU"/>
        </w:rPr>
        <w:t xml:space="preserve"> </w:t>
      </w:r>
      <w:r w:rsidRPr="000632B3">
        <w:rPr>
          <w:lang w:val="es-CU"/>
        </w:rPr>
        <w:t>Bustamante</w:t>
      </w:r>
      <w:r>
        <w:rPr>
          <w:lang w:val="es-CU"/>
        </w:rPr>
        <w:t xml:space="preserve"> </w:t>
      </w:r>
      <w:r w:rsidRPr="000632B3">
        <w:rPr>
          <w:lang w:val="es-CU"/>
        </w:rPr>
        <w:t>González</w:t>
      </w:r>
      <w:r>
        <w:rPr>
          <w:lang w:val="es-CU"/>
        </w:rPr>
        <w:t>,</w:t>
      </w:r>
      <w:r w:rsidRPr="000632B3">
        <w:rPr>
          <w:lang w:val="es-CU"/>
        </w:rPr>
        <w:t xml:space="preserve"> C</w:t>
      </w:r>
      <w:r>
        <w:rPr>
          <w:lang w:val="es-CU"/>
        </w:rPr>
        <w:t>.</w:t>
      </w:r>
      <w:r w:rsidRPr="000632B3">
        <w:rPr>
          <w:lang w:val="es-CU"/>
        </w:rPr>
        <w:t xml:space="preserve"> A</w:t>
      </w:r>
      <w:r>
        <w:rPr>
          <w:lang w:val="es-CU"/>
        </w:rPr>
        <w:t>.</w:t>
      </w:r>
      <w:r w:rsidRPr="000632B3">
        <w:rPr>
          <w:lang w:val="es-CU"/>
        </w:rPr>
        <w:t xml:space="preserve"> </w:t>
      </w:r>
      <w:r>
        <w:rPr>
          <w:lang w:val="es-CU"/>
        </w:rPr>
        <w:t>&amp;</w:t>
      </w:r>
      <w:r w:rsidRPr="000632B3">
        <w:rPr>
          <w:lang w:val="es-CU"/>
        </w:rPr>
        <w:t xml:space="preserve"> Ortiz</w:t>
      </w:r>
      <w:r>
        <w:rPr>
          <w:lang w:val="es-CU"/>
        </w:rPr>
        <w:t xml:space="preserve"> </w:t>
      </w:r>
      <w:r w:rsidRPr="000632B3">
        <w:rPr>
          <w:lang w:val="es-CU"/>
        </w:rPr>
        <w:t>Gómez</w:t>
      </w:r>
      <w:r>
        <w:rPr>
          <w:lang w:val="es-CU"/>
        </w:rPr>
        <w:t>,</w:t>
      </w:r>
      <w:r w:rsidRPr="000632B3">
        <w:rPr>
          <w:lang w:val="es-CU"/>
        </w:rPr>
        <w:t xml:space="preserve"> N</w:t>
      </w:r>
      <w:r>
        <w:rPr>
          <w:lang w:val="es-CU"/>
        </w:rPr>
        <w:t xml:space="preserve">. (2020). </w:t>
      </w:r>
      <w:r w:rsidRPr="000632B3">
        <w:rPr>
          <w:lang w:val="es-CU"/>
        </w:rPr>
        <w:t xml:space="preserve">Efecto de bioproducto en la germinación de semillas y desarrollo de posturas de </w:t>
      </w:r>
      <w:r w:rsidRPr="000632B3">
        <w:rPr>
          <w:i/>
          <w:lang w:val="es-CU"/>
        </w:rPr>
        <w:t>Coffea arabica</w:t>
      </w:r>
      <w:r w:rsidRPr="000632B3">
        <w:rPr>
          <w:lang w:val="es-CU"/>
        </w:rPr>
        <w:t xml:space="preserve"> L</w:t>
      </w:r>
      <w:r>
        <w:rPr>
          <w:lang w:val="es-CU"/>
        </w:rPr>
        <w:t xml:space="preserve">. </w:t>
      </w:r>
      <w:r w:rsidRPr="004B78A1">
        <w:rPr>
          <w:i/>
          <w:lang w:val="es-CU"/>
        </w:rPr>
        <w:t>Revista Ingeniería Agrícola</w:t>
      </w:r>
      <w:r w:rsidRPr="000632B3">
        <w:rPr>
          <w:lang w:val="es-CU"/>
        </w:rPr>
        <w:t>, 10</w:t>
      </w:r>
      <w:r>
        <w:rPr>
          <w:lang w:val="es-CU"/>
        </w:rPr>
        <w:t>(</w:t>
      </w:r>
      <w:r w:rsidRPr="000632B3">
        <w:rPr>
          <w:lang w:val="es-CU"/>
        </w:rPr>
        <w:t>4</w:t>
      </w:r>
      <w:r>
        <w:rPr>
          <w:lang w:val="es-CU"/>
        </w:rPr>
        <w:t>):</w:t>
      </w:r>
      <w:r w:rsidRPr="000632B3">
        <w:rPr>
          <w:lang w:val="es-CU"/>
        </w:rPr>
        <w:t xml:space="preserve"> 31-35</w:t>
      </w:r>
      <w:r>
        <w:rPr>
          <w:lang w:val="es-CU"/>
        </w:rPr>
        <w:t xml:space="preserve">. </w:t>
      </w:r>
      <w:r w:rsidRPr="000632B3">
        <w:rPr>
          <w:lang w:val="es-CU"/>
        </w:rPr>
        <w:t>ISSN-2306-1545, E-ISSN-2227-8761</w:t>
      </w:r>
    </w:p>
    <w:p w:rsidR="00445918" w:rsidRPr="00700DF8" w:rsidRDefault="00445918" w:rsidP="00B0550D">
      <w:pPr>
        <w:pStyle w:val="Bibliografa"/>
        <w:rPr>
          <w:lang w:val="es-CU"/>
        </w:rPr>
      </w:pPr>
      <w:r w:rsidRPr="00B0550D">
        <w:rPr>
          <w:lang w:val="es-CU"/>
        </w:rPr>
        <w:t>Maza Estrada</w:t>
      </w:r>
      <w:r>
        <w:rPr>
          <w:lang w:val="es-CU"/>
        </w:rPr>
        <w:t>,</w:t>
      </w:r>
      <w:r w:rsidRPr="00B0550D">
        <w:rPr>
          <w:lang w:val="es-CU"/>
        </w:rPr>
        <w:t xml:space="preserve"> N</w:t>
      </w:r>
      <w:r>
        <w:rPr>
          <w:lang w:val="es-CU"/>
        </w:rPr>
        <w:t>.</w:t>
      </w:r>
      <w:r w:rsidRPr="00B0550D">
        <w:rPr>
          <w:lang w:val="es-CU"/>
        </w:rPr>
        <w:t xml:space="preserve"> J</w:t>
      </w:r>
      <w:r>
        <w:rPr>
          <w:lang w:val="es-CU"/>
        </w:rPr>
        <w:t>.</w:t>
      </w:r>
      <w:r w:rsidRPr="00B0550D">
        <w:rPr>
          <w:lang w:val="es-CU"/>
        </w:rPr>
        <w:t>, Caballero Álvarez</w:t>
      </w:r>
      <w:r>
        <w:rPr>
          <w:lang w:val="es-CU"/>
        </w:rPr>
        <w:t>,</w:t>
      </w:r>
      <w:r w:rsidRPr="00B0550D">
        <w:rPr>
          <w:lang w:val="es-CU"/>
        </w:rPr>
        <w:t xml:space="preserve"> M</w:t>
      </w:r>
      <w:r>
        <w:rPr>
          <w:lang w:val="es-CU"/>
        </w:rPr>
        <w:t>.</w:t>
      </w:r>
      <w:r w:rsidRPr="00B0550D">
        <w:rPr>
          <w:lang w:val="es-CU"/>
        </w:rPr>
        <w:t xml:space="preserve"> W</w:t>
      </w:r>
      <w:r>
        <w:rPr>
          <w:lang w:val="es-CU"/>
        </w:rPr>
        <w:t>.</w:t>
      </w:r>
      <w:r w:rsidRPr="00B0550D">
        <w:rPr>
          <w:lang w:val="es-CU"/>
        </w:rPr>
        <w:t>, Rivera Alvarado</w:t>
      </w:r>
      <w:r>
        <w:rPr>
          <w:lang w:val="es-CU"/>
        </w:rPr>
        <w:t>,</w:t>
      </w:r>
      <w:r w:rsidRPr="00B0550D">
        <w:rPr>
          <w:lang w:val="es-CU"/>
        </w:rPr>
        <w:t xml:space="preserve"> C</w:t>
      </w:r>
      <w:r>
        <w:rPr>
          <w:lang w:val="es-CU"/>
        </w:rPr>
        <w:t>.</w:t>
      </w:r>
      <w:r w:rsidRPr="00B0550D">
        <w:rPr>
          <w:lang w:val="es-CU"/>
        </w:rPr>
        <w:t xml:space="preserve"> M</w:t>
      </w:r>
      <w:r>
        <w:rPr>
          <w:lang w:val="es-CU"/>
        </w:rPr>
        <w:t>.</w:t>
      </w:r>
      <w:r w:rsidRPr="00B0550D">
        <w:rPr>
          <w:lang w:val="es-CU"/>
        </w:rPr>
        <w:t>, Toledo Hernández</w:t>
      </w:r>
      <w:r>
        <w:rPr>
          <w:lang w:val="es-CU"/>
        </w:rPr>
        <w:t>,</w:t>
      </w:r>
      <w:r w:rsidRPr="00B0550D">
        <w:rPr>
          <w:lang w:val="es-CU"/>
        </w:rPr>
        <w:t xml:space="preserve"> G</w:t>
      </w:r>
      <w:r>
        <w:rPr>
          <w:lang w:val="es-CU"/>
        </w:rPr>
        <w:t>.</w:t>
      </w:r>
      <w:r w:rsidRPr="00B0550D">
        <w:rPr>
          <w:lang w:val="es-CU"/>
        </w:rPr>
        <w:t xml:space="preserve"> </w:t>
      </w:r>
      <w:r w:rsidRPr="00700DF8">
        <w:rPr>
          <w:lang w:val="es-CU"/>
        </w:rPr>
        <w:t>&amp;</w:t>
      </w:r>
      <w:r w:rsidRPr="00B0550D">
        <w:rPr>
          <w:lang w:val="es-CU"/>
        </w:rPr>
        <w:t xml:space="preserve"> Bermúdez Alemán</w:t>
      </w:r>
      <w:r>
        <w:rPr>
          <w:lang w:val="es-CU"/>
        </w:rPr>
        <w:t>,</w:t>
      </w:r>
      <w:r w:rsidRPr="00B0550D">
        <w:rPr>
          <w:lang w:val="es-CU"/>
        </w:rPr>
        <w:t xml:space="preserve"> A</w:t>
      </w:r>
      <w:r>
        <w:rPr>
          <w:lang w:val="es-CU"/>
        </w:rPr>
        <w:t>.</w:t>
      </w:r>
      <w:r w:rsidRPr="00B0550D">
        <w:rPr>
          <w:lang w:val="es-CU"/>
        </w:rPr>
        <w:t xml:space="preserve"> </w:t>
      </w:r>
      <w:r w:rsidRPr="00700DF8">
        <w:rPr>
          <w:lang w:val="es-CU"/>
        </w:rPr>
        <w:t>(20</w:t>
      </w:r>
      <w:r>
        <w:rPr>
          <w:lang w:val="es-CU"/>
        </w:rPr>
        <w:t>19</w:t>
      </w:r>
      <w:r w:rsidRPr="00700DF8">
        <w:rPr>
          <w:lang w:val="es-CU"/>
        </w:rPr>
        <w:t xml:space="preserve">). </w:t>
      </w:r>
      <w:r>
        <w:rPr>
          <w:lang w:val="es-CU"/>
        </w:rPr>
        <w:t>I</w:t>
      </w:r>
      <w:r w:rsidRPr="00B0550D">
        <w:rPr>
          <w:lang w:val="es-CU"/>
        </w:rPr>
        <w:t xml:space="preserve">nfluencia de </w:t>
      </w:r>
      <w:r>
        <w:rPr>
          <w:lang w:val="es-CU"/>
        </w:rPr>
        <w:t>V</w:t>
      </w:r>
      <w:r w:rsidRPr="00B0550D">
        <w:rPr>
          <w:lang w:val="es-CU"/>
        </w:rPr>
        <w:t xml:space="preserve">IUSID </w:t>
      </w:r>
      <w:r>
        <w:rPr>
          <w:lang w:val="es-CU"/>
        </w:rPr>
        <w:t>A</w:t>
      </w:r>
      <w:r w:rsidRPr="00B0550D">
        <w:rPr>
          <w:lang w:val="es-CU"/>
        </w:rPr>
        <w:t>gro® en la producción de semillas de pepino (</w:t>
      </w:r>
      <w:r w:rsidRPr="00B0550D">
        <w:rPr>
          <w:i/>
          <w:lang w:val="es-CU"/>
        </w:rPr>
        <w:t>Cucumis sativus</w:t>
      </w:r>
      <w:r w:rsidRPr="00B0550D">
        <w:rPr>
          <w:lang w:val="es-CU"/>
        </w:rPr>
        <w:t xml:space="preserve"> L.)</w:t>
      </w:r>
      <w:r w:rsidRPr="00700DF8">
        <w:rPr>
          <w:lang w:val="es-CU"/>
        </w:rPr>
        <w:t xml:space="preserve">. </w:t>
      </w:r>
      <w:r w:rsidRPr="00B0550D">
        <w:rPr>
          <w:i/>
          <w:iCs/>
          <w:lang w:val="es-CU"/>
        </w:rPr>
        <w:t>Rev. Agricultura Tropical</w:t>
      </w:r>
      <w:r>
        <w:rPr>
          <w:i/>
          <w:iCs/>
          <w:lang w:val="es-CU"/>
        </w:rPr>
        <w:t>,</w:t>
      </w:r>
      <w:r w:rsidRPr="00B0550D">
        <w:rPr>
          <w:i/>
          <w:iCs/>
          <w:lang w:val="es-CU"/>
        </w:rPr>
        <w:t xml:space="preserve"> 5</w:t>
      </w:r>
      <w:r>
        <w:rPr>
          <w:i/>
          <w:iCs/>
          <w:lang w:val="es-CU"/>
        </w:rPr>
        <w:t>(</w:t>
      </w:r>
      <w:r w:rsidRPr="00B0550D">
        <w:rPr>
          <w:i/>
          <w:iCs/>
          <w:lang w:val="es-CU"/>
        </w:rPr>
        <w:t xml:space="preserve"> 1</w:t>
      </w:r>
      <w:r>
        <w:rPr>
          <w:i/>
          <w:iCs/>
          <w:lang w:val="es-CU"/>
        </w:rPr>
        <w:t>)</w:t>
      </w:r>
      <w:r w:rsidRPr="00B0550D">
        <w:rPr>
          <w:i/>
          <w:iCs/>
          <w:lang w:val="es-CU"/>
        </w:rPr>
        <w:t>:</w:t>
      </w:r>
      <w:r>
        <w:rPr>
          <w:i/>
          <w:iCs/>
          <w:lang w:val="es-CU"/>
        </w:rPr>
        <w:t xml:space="preserve"> </w:t>
      </w:r>
      <w:r w:rsidRPr="00B0550D">
        <w:rPr>
          <w:i/>
          <w:iCs/>
          <w:lang w:val="es-CU"/>
        </w:rPr>
        <w:t>1-1</w:t>
      </w:r>
      <w:r w:rsidRPr="00B0550D">
        <w:rPr>
          <w:i/>
          <w:lang w:val="es-CU"/>
        </w:rPr>
        <w:t>1</w:t>
      </w:r>
      <w:r>
        <w:rPr>
          <w:i/>
          <w:lang w:val="es-CU"/>
        </w:rPr>
        <w:t xml:space="preserve">. </w:t>
      </w:r>
      <w:r w:rsidRPr="00B0550D">
        <w:rPr>
          <w:i/>
          <w:lang w:val="es-CU"/>
        </w:rPr>
        <w:t>eISSN: 2517-9292, RNPS: 2397</w:t>
      </w:r>
    </w:p>
    <w:p w:rsidR="00445918" w:rsidRDefault="00445918" w:rsidP="000632B3">
      <w:pPr>
        <w:rPr>
          <w:lang w:val="es-CU"/>
        </w:rPr>
      </w:pPr>
      <w:r w:rsidRPr="000632B3">
        <w:rPr>
          <w:lang w:val="es-CU"/>
        </w:rPr>
        <w:t>Mendoza, M</w:t>
      </w:r>
      <w:r>
        <w:rPr>
          <w:lang w:val="es-CU"/>
        </w:rPr>
        <w:t>.</w:t>
      </w:r>
      <w:r w:rsidRPr="000632B3">
        <w:rPr>
          <w:lang w:val="es-CU"/>
        </w:rPr>
        <w:t xml:space="preserve"> G. </w:t>
      </w:r>
      <w:r>
        <w:rPr>
          <w:lang w:val="es-CU"/>
        </w:rPr>
        <w:t>(</w:t>
      </w:r>
      <w:r w:rsidRPr="000632B3">
        <w:rPr>
          <w:lang w:val="es-CU"/>
        </w:rPr>
        <w:t>2012</w:t>
      </w:r>
      <w:r>
        <w:rPr>
          <w:lang w:val="es-CU"/>
        </w:rPr>
        <w:t>)</w:t>
      </w:r>
      <w:r w:rsidRPr="000632B3">
        <w:rPr>
          <w:lang w:val="es-CU"/>
        </w:rPr>
        <w:t>. Evaluación de los biofertilizantes FitoMas-E y micorrizas arbusculares en posturas de Cedro (</w:t>
      </w:r>
      <w:r w:rsidRPr="000632B3">
        <w:rPr>
          <w:i/>
          <w:lang w:val="es-CU"/>
        </w:rPr>
        <w:t>Cederla odorata</w:t>
      </w:r>
      <w:r w:rsidRPr="000632B3">
        <w:rPr>
          <w:lang w:val="es-CU"/>
        </w:rPr>
        <w:t xml:space="preserve"> L.). Universidad de Granma. Facultad de Ciencia y Técnica, Departamento de Procesos Agroindustriales.</w:t>
      </w:r>
    </w:p>
    <w:p w:rsidR="00445918" w:rsidRDefault="00445918" w:rsidP="00B81A6F">
      <w:pPr>
        <w:pStyle w:val="Bibliografa"/>
      </w:pPr>
      <w:r>
        <w:rPr>
          <w:lang w:val="es-CU"/>
        </w:rPr>
        <w:t>Ministerio de la Agricultura (MINAG)</w:t>
      </w:r>
      <w:r w:rsidRPr="00700DF8">
        <w:rPr>
          <w:lang w:val="es-CU"/>
        </w:rPr>
        <w:t>. (20</w:t>
      </w:r>
      <w:r>
        <w:rPr>
          <w:lang w:val="es-CU"/>
        </w:rPr>
        <w:t>20</w:t>
      </w:r>
      <w:r w:rsidRPr="00700DF8">
        <w:rPr>
          <w:lang w:val="es-CU"/>
        </w:rPr>
        <w:t xml:space="preserve">). </w:t>
      </w:r>
      <w:r>
        <w:rPr>
          <w:lang w:val="es-CU"/>
        </w:rPr>
        <w:t>M</w:t>
      </w:r>
      <w:r w:rsidRPr="00B81A6F">
        <w:rPr>
          <w:lang w:val="es-CU"/>
        </w:rPr>
        <w:t>anual práctico para uso de bioproductos y fertilizantes líquidos</w:t>
      </w:r>
      <w:r w:rsidRPr="00700DF8">
        <w:rPr>
          <w:lang w:val="es-CU"/>
        </w:rPr>
        <w:t xml:space="preserve">. </w:t>
      </w:r>
      <w:r w:rsidRPr="00B81A6F">
        <w:rPr>
          <w:i/>
          <w:iCs/>
          <w:lang w:val="es-CU"/>
        </w:rPr>
        <w:t>Departamento de Suelos y Fertilizantes</w:t>
      </w:r>
      <w:r w:rsidRPr="00700DF8">
        <w:rPr>
          <w:lang w:val="es-CU"/>
        </w:rPr>
        <w:t>.</w:t>
      </w:r>
      <w:r>
        <w:rPr>
          <w:lang w:val="es-CU"/>
        </w:rPr>
        <w:t xml:space="preserve"> La Habana. Disponible en: </w:t>
      </w:r>
      <w:hyperlink r:id="rId14" w:history="1">
        <w:r w:rsidRPr="00B8363A">
          <w:rPr>
            <w:rStyle w:val="Hipervnculo"/>
          </w:rPr>
          <w:t>https://www.minag.gob.cu/sites/default/files/noticias/manual_biofertilizantes_y_fertilizantes_liquidos_v_10-1-2020.pdf</w:t>
        </w:r>
      </w:hyperlink>
    </w:p>
    <w:p w:rsidR="000A1777" w:rsidRPr="000A1777" w:rsidRDefault="000A1777" w:rsidP="000A1777">
      <w:r w:rsidRPr="000A1777">
        <w:t xml:space="preserve">Salto, C. S.; García, M. A. y </w:t>
      </w:r>
      <w:proofErr w:type="spellStart"/>
      <w:r w:rsidRPr="000A1777">
        <w:t>Harrand</w:t>
      </w:r>
      <w:proofErr w:type="spellEnd"/>
      <w:r w:rsidRPr="000A1777">
        <w:t xml:space="preserve">, L. (2013). Influencia de diferentes sustratos y contenedores sobre variables morfológicas de </w:t>
      </w:r>
      <w:proofErr w:type="spellStart"/>
      <w:r w:rsidRPr="000A1777">
        <w:t>plantines</w:t>
      </w:r>
      <w:proofErr w:type="spellEnd"/>
      <w:r w:rsidRPr="000A1777">
        <w:t xml:space="preserve"> de dos especies de </w:t>
      </w:r>
      <w:proofErr w:type="spellStart"/>
      <w:r w:rsidRPr="000A1777">
        <w:rPr>
          <w:i/>
        </w:rPr>
        <w:t>Prosopis</w:t>
      </w:r>
      <w:proofErr w:type="spellEnd"/>
      <w:r w:rsidRPr="000A1777">
        <w:t xml:space="preserve">. </w:t>
      </w:r>
      <w:r w:rsidRPr="000A1777">
        <w:rPr>
          <w:i/>
        </w:rPr>
        <w:t>Quebracho</w:t>
      </w:r>
      <w:r w:rsidRPr="000A1777">
        <w:t>, 21(1,2):90-102</w:t>
      </w:r>
    </w:p>
    <w:p w:rsidR="00445918" w:rsidRDefault="00445918" w:rsidP="00B81A6F">
      <w:pPr>
        <w:pStyle w:val="Bibliografa"/>
        <w:rPr>
          <w:lang w:val="es-CU"/>
        </w:rPr>
      </w:pPr>
      <w:r>
        <w:rPr>
          <w:lang w:val="es-CU"/>
        </w:rPr>
        <w:t>Trocones Boggiano</w:t>
      </w:r>
      <w:r w:rsidRPr="00700DF8">
        <w:rPr>
          <w:lang w:val="es-CU"/>
        </w:rPr>
        <w:t xml:space="preserve">, </w:t>
      </w:r>
      <w:r>
        <w:rPr>
          <w:lang w:val="es-CU"/>
        </w:rPr>
        <w:t>A</w:t>
      </w:r>
      <w:r w:rsidRPr="00700DF8">
        <w:rPr>
          <w:lang w:val="es-CU"/>
        </w:rPr>
        <w:t>.</w:t>
      </w:r>
      <w:r>
        <w:rPr>
          <w:lang w:val="es-CU"/>
        </w:rPr>
        <w:t xml:space="preserve"> G.</w:t>
      </w:r>
      <w:r w:rsidRPr="00700DF8">
        <w:rPr>
          <w:lang w:val="es-CU"/>
        </w:rPr>
        <w:t xml:space="preserve">, &amp; </w:t>
      </w:r>
      <w:r>
        <w:rPr>
          <w:lang w:val="es-CU"/>
        </w:rPr>
        <w:t>Delgado Fernández</w:t>
      </w:r>
      <w:r w:rsidRPr="00700DF8">
        <w:rPr>
          <w:lang w:val="es-CU"/>
        </w:rPr>
        <w:t xml:space="preserve">, </w:t>
      </w:r>
      <w:r>
        <w:rPr>
          <w:lang w:val="es-CU"/>
        </w:rPr>
        <w:t>L</w:t>
      </w:r>
      <w:r w:rsidRPr="00700DF8">
        <w:rPr>
          <w:lang w:val="es-CU"/>
        </w:rPr>
        <w:t>.</w:t>
      </w:r>
      <w:r>
        <w:rPr>
          <w:lang w:val="es-CU"/>
        </w:rPr>
        <w:t xml:space="preserve"> A.</w:t>
      </w:r>
      <w:r w:rsidRPr="00700DF8">
        <w:rPr>
          <w:lang w:val="es-CU"/>
        </w:rPr>
        <w:t xml:space="preserve"> (202</w:t>
      </w:r>
      <w:r>
        <w:rPr>
          <w:lang w:val="es-CU"/>
        </w:rPr>
        <w:t>0</w:t>
      </w:r>
      <w:r w:rsidRPr="00700DF8">
        <w:rPr>
          <w:lang w:val="es-CU"/>
        </w:rPr>
        <w:t xml:space="preserve">). </w:t>
      </w:r>
      <w:r w:rsidRPr="00B81A6F">
        <w:rPr>
          <w:lang w:val="es-CU"/>
        </w:rPr>
        <w:t xml:space="preserve">Efecto del FitoMas-E sobre la germinación de semillas y calidad de plantas de </w:t>
      </w:r>
      <w:r w:rsidRPr="00B81A6F">
        <w:rPr>
          <w:i/>
          <w:lang w:val="es-CU"/>
        </w:rPr>
        <w:t>Chrysophyllum cainito</w:t>
      </w:r>
      <w:r w:rsidRPr="00B81A6F">
        <w:rPr>
          <w:lang w:val="es-CU"/>
        </w:rPr>
        <w:t xml:space="preserve"> L. (caimito) en condiciones de vivero</w:t>
      </w:r>
      <w:r w:rsidRPr="00700DF8">
        <w:rPr>
          <w:lang w:val="es-CU"/>
        </w:rPr>
        <w:t xml:space="preserve">. </w:t>
      </w:r>
      <w:r w:rsidRPr="00B81A6F">
        <w:rPr>
          <w:i/>
          <w:iCs/>
          <w:lang w:val="es-CU"/>
        </w:rPr>
        <w:t>Revista Cubana de Ciencias Forestales; 8(1): 104-121</w:t>
      </w:r>
      <w:r w:rsidRPr="00700DF8">
        <w:rPr>
          <w:lang w:val="es-CU"/>
        </w:rPr>
        <w:t>.</w:t>
      </w:r>
      <w:r>
        <w:rPr>
          <w:lang w:val="es-CU"/>
        </w:rPr>
        <w:t xml:space="preserve"> </w:t>
      </w:r>
      <w:r w:rsidRPr="00B81A6F">
        <w:rPr>
          <w:lang w:val="es-CU"/>
        </w:rPr>
        <w:t>ISSN: 1996–2452 RNPS: 2148</w:t>
      </w:r>
    </w:p>
    <w:p w:rsidR="000B4AC9" w:rsidRPr="000B4AC9" w:rsidRDefault="00445918" w:rsidP="000B4AC9">
      <w:pPr>
        <w:rPr>
          <w:lang w:val="es-CU"/>
        </w:rPr>
      </w:pPr>
      <w:r w:rsidRPr="000632B3">
        <w:rPr>
          <w:lang w:val="es-CU"/>
        </w:rPr>
        <w:lastRenderedPageBreak/>
        <w:t xml:space="preserve">Yánez, W.; Villacís, L. A.; León, O. A.; </w:t>
      </w:r>
      <w:r w:rsidRPr="000632B3">
        <w:rPr>
          <w:i/>
          <w:lang w:val="es-CU"/>
        </w:rPr>
        <w:t>et al</w:t>
      </w:r>
      <w:r w:rsidRPr="000632B3">
        <w:rPr>
          <w:lang w:val="es-CU"/>
        </w:rPr>
        <w:t xml:space="preserve">. (2016). Efectos de un compost enriquecido con microorganismos eficientes sobre la germinación de semillas recalcitrantes de </w:t>
      </w:r>
      <w:r w:rsidRPr="000632B3">
        <w:rPr>
          <w:i/>
          <w:lang w:val="es-CU"/>
        </w:rPr>
        <w:t>Artocarpus altilis</w:t>
      </w:r>
      <w:r w:rsidRPr="000632B3">
        <w:rPr>
          <w:lang w:val="es-CU"/>
        </w:rPr>
        <w:t xml:space="preserve"> (Parkinson) Fosberg y </w:t>
      </w:r>
      <w:r w:rsidRPr="000632B3">
        <w:rPr>
          <w:i/>
          <w:lang w:val="es-CU"/>
        </w:rPr>
        <w:t>Theobroma cacao</w:t>
      </w:r>
      <w:r w:rsidRPr="000632B3">
        <w:rPr>
          <w:lang w:val="es-CU"/>
        </w:rPr>
        <w:t xml:space="preserve"> L. </w:t>
      </w:r>
      <w:r w:rsidRPr="000632B3">
        <w:rPr>
          <w:i/>
          <w:lang w:val="es-CU"/>
        </w:rPr>
        <w:t>Journal of the Selva Andina Biosph</w:t>
      </w:r>
      <w:r w:rsidRPr="000632B3">
        <w:rPr>
          <w:lang w:val="es-CU"/>
        </w:rPr>
        <w:t>, 4(2):100-108</w:t>
      </w:r>
      <w:r w:rsidR="000632B3" w:rsidRPr="000632B3">
        <w:rPr>
          <w:lang w:val="es-CU"/>
        </w:rPr>
        <w:t>.</w:t>
      </w:r>
    </w:p>
    <w:p w:rsidR="00B81A6F" w:rsidRPr="00B81A6F" w:rsidRDefault="00B81A6F" w:rsidP="00B81A6F">
      <w:pPr>
        <w:rPr>
          <w:lang w:val="es-CU"/>
        </w:rPr>
      </w:pPr>
    </w:p>
    <w:p w:rsidR="006F4691" w:rsidRPr="00700DF8" w:rsidRDefault="006F4691" w:rsidP="009016FB">
      <w:pPr>
        <w:pStyle w:val="YAYABO-References"/>
        <w:numPr>
          <w:ilvl w:val="0"/>
          <w:numId w:val="0"/>
        </w:numPr>
        <w:ind w:left="360" w:hanging="360"/>
        <w:rPr>
          <w:lang w:val="es-CU"/>
        </w:rPr>
      </w:pPr>
    </w:p>
    <w:sectPr w:rsidR="006F4691" w:rsidRPr="00700DF8" w:rsidSect="00B54B95">
      <w:headerReference w:type="default" r:id="rId15"/>
      <w:footerReference w:type="default" r:id="rId16"/>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662" w:rsidRDefault="00FB5662" w:rsidP="00276F63">
      <w:pPr>
        <w:spacing w:before="0" w:after="0" w:line="240" w:lineRule="auto"/>
      </w:pPr>
      <w:r>
        <w:separator/>
      </w:r>
    </w:p>
  </w:endnote>
  <w:endnote w:type="continuationSeparator" w:id="0">
    <w:p w:rsidR="00FB5662" w:rsidRDefault="00FB5662"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68" w:rsidRDefault="00982868">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662" w:rsidRDefault="00FB5662" w:rsidP="00276F63">
      <w:pPr>
        <w:spacing w:before="0" w:after="0" w:line="240" w:lineRule="auto"/>
      </w:pPr>
      <w:r>
        <w:separator/>
      </w:r>
    </w:p>
  </w:footnote>
  <w:footnote w:type="continuationSeparator" w:id="0">
    <w:p w:rsidR="00FB5662" w:rsidRDefault="00FB5662"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68" w:rsidRDefault="00982868">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2868" w:rsidRDefault="00982868">
    <w:pPr>
      <w:pStyle w:val="Encabezado"/>
    </w:pPr>
  </w:p>
  <w:p w:rsidR="00982868" w:rsidRPr="009567D5" w:rsidRDefault="00982868"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982868" w:rsidRPr="009567D5" w:rsidRDefault="00982868"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3C"/>
    <w:rsid w:val="00014951"/>
    <w:rsid w:val="00050C74"/>
    <w:rsid w:val="000632B3"/>
    <w:rsid w:val="00064ACF"/>
    <w:rsid w:val="000A1777"/>
    <w:rsid w:val="000B2026"/>
    <w:rsid w:val="000B4AC9"/>
    <w:rsid w:val="000C0FA7"/>
    <w:rsid w:val="000F2BCE"/>
    <w:rsid w:val="00186EA9"/>
    <w:rsid w:val="001C4CB0"/>
    <w:rsid w:val="00276F63"/>
    <w:rsid w:val="00294A34"/>
    <w:rsid w:val="002F086F"/>
    <w:rsid w:val="00334373"/>
    <w:rsid w:val="0035195D"/>
    <w:rsid w:val="00386BCB"/>
    <w:rsid w:val="003948D3"/>
    <w:rsid w:val="00445918"/>
    <w:rsid w:val="004B34A5"/>
    <w:rsid w:val="004B78A1"/>
    <w:rsid w:val="004F212A"/>
    <w:rsid w:val="005265ED"/>
    <w:rsid w:val="005B747F"/>
    <w:rsid w:val="006041CC"/>
    <w:rsid w:val="006952E9"/>
    <w:rsid w:val="006C4816"/>
    <w:rsid w:val="006F4691"/>
    <w:rsid w:val="00700DF8"/>
    <w:rsid w:val="00715A1F"/>
    <w:rsid w:val="00780F36"/>
    <w:rsid w:val="00783C69"/>
    <w:rsid w:val="007F669A"/>
    <w:rsid w:val="008018BC"/>
    <w:rsid w:val="00833A08"/>
    <w:rsid w:val="0084429D"/>
    <w:rsid w:val="00893195"/>
    <w:rsid w:val="008A530A"/>
    <w:rsid w:val="008F1B37"/>
    <w:rsid w:val="009016FB"/>
    <w:rsid w:val="00927599"/>
    <w:rsid w:val="009567D5"/>
    <w:rsid w:val="0098023C"/>
    <w:rsid w:val="00982868"/>
    <w:rsid w:val="0099565A"/>
    <w:rsid w:val="009C6BAF"/>
    <w:rsid w:val="00A17386"/>
    <w:rsid w:val="00A435F1"/>
    <w:rsid w:val="00A629B1"/>
    <w:rsid w:val="00AB0538"/>
    <w:rsid w:val="00B03DCB"/>
    <w:rsid w:val="00B0550D"/>
    <w:rsid w:val="00B54B95"/>
    <w:rsid w:val="00B74E79"/>
    <w:rsid w:val="00B81488"/>
    <w:rsid w:val="00B818E8"/>
    <w:rsid w:val="00B81A6F"/>
    <w:rsid w:val="00C705E4"/>
    <w:rsid w:val="00D83261"/>
    <w:rsid w:val="00D948E3"/>
    <w:rsid w:val="00E46BD5"/>
    <w:rsid w:val="00E572BA"/>
    <w:rsid w:val="00E92B74"/>
    <w:rsid w:val="00ED1EAE"/>
    <w:rsid w:val="00EE162E"/>
    <w:rsid w:val="00F42CD9"/>
    <w:rsid w:val="00FA4279"/>
    <w:rsid w:val="00FA4CE1"/>
    <w:rsid w:val="00FB5662"/>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F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A629B1"/>
    <w:rPr>
      <w:color w:val="0563C1" w:themeColor="hyperlink"/>
      <w:u w:val="single"/>
    </w:rPr>
  </w:style>
  <w:style w:type="table" w:styleId="Tablaconcuadrcula">
    <w:name w:val="Table Grid"/>
    <w:basedOn w:val="Tablanormal"/>
    <w:uiPriority w:val="39"/>
    <w:rsid w:val="0099565A"/>
    <w:rPr>
      <w:rFonts w:asciiTheme="minorHAnsi" w:eastAsiaTheme="minorHAnsi"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3948D3"/>
    <w:rPr>
      <w:rFonts w:asciiTheme="minorHAnsi" w:eastAsiaTheme="minorHAnsi" w:hAnsiTheme="minorHAnsi" w:cstheme="minorBid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elmarcadordeposicin">
    <w:name w:val="Placeholder Text"/>
    <w:basedOn w:val="Fuentedeprrafopredeter"/>
    <w:uiPriority w:val="99"/>
    <w:unhideWhenUsed/>
    <w:rsid w:val="00386BCB"/>
    <w:rPr>
      <w:color w:val="808080"/>
    </w:rPr>
  </w:style>
  <w:style w:type="paragraph" w:styleId="Prrafodelista">
    <w:name w:val="List Paragraph"/>
    <w:basedOn w:val="Normal"/>
    <w:uiPriority w:val="72"/>
    <w:qFormat/>
    <w:rsid w:val="00334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5769-2165" TargetMode="External"/><Relationship Id="rId13" Type="http://schemas.openxmlformats.org/officeDocument/2006/relationships/hyperlink" Target="mailto:fonfi@uniss.edu.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d@uniss.edu.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uniss.edu.c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3-1904-2879" TargetMode="External"/><Relationship Id="rId4" Type="http://schemas.openxmlformats.org/officeDocument/2006/relationships/settings" Target="settings.xml"/><Relationship Id="rId9" Type="http://schemas.openxmlformats.org/officeDocument/2006/relationships/hyperlink" Target="http://orcid.org/0000-0001-5769-2165" TargetMode="External"/><Relationship Id="rId14" Type="http://schemas.openxmlformats.org/officeDocument/2006/relationships/hyperlink" Target="https://www.minag.gob.cu/sites/default/files/noticias/manual_biofertilizantes_y_fertilizantes_liquidos_v_10-1-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4AAEE11-F3F9-4F85-B973-297624B3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16</Pages>
  <Words>4123</Words>
  <Characters>22682</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26752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2021-09-29T23:00:00Z</dcterms:created>
  <dcterms:modified xsi:type="dcterms:W3CDTF">2021-09-30T14:13:00Z</dcterms:modified>
</cp:coreProperties>
</file>